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CEA" w:rsidRPr="00F832D4" w:rsidRDefault="00805CEA" w:rsidP="00805CEA">
      <w:pPr>
        <w:ind w:right="-705" w:hanging="567"/>
        <w:rPr>
          <w:rFonts w:asciiTheme="majorBidi" w:hAnsiTheme="majorBidi" w:cstheme="majorBidi"/>
          <w:sz w:val="24"/>
          <w:szCs w:val="24"/>
        </w:rPr>
      </w:pPr>
    </w:p>
    <w:p w:rsidR="00805CEA" w:rsidRPr="00F832D4" w:rsidRDefault="00CA271F" w:rsidP="00805CEA">
      <w:pPr>
        <w:ind w:right="-705" w:hanging="567"/>
        <w:rPr>
          <w:rFonts w:asciiTheme="majorBidi" w:hAnsiTheme="majorBidi" w:cstheme="majorBidi"/>
          <w:sz w:val="24"/>
          <w:szCs w:val="24"/>
        </w:rPr>
      </w:pPr>
      <w:r>
        <w:rPr>
          <w:rFonts w:asciiTheme="majorBidi" w:hAnsiTheme="majorBidi" w:cstheme="majorBidi"/>
          <w:noProof/>
          <w:sz w:val="24"/>
          <w:szCs w:val="24"/>
        </w:rPr>
        <w:pict>
          <v:shapetyp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AB0EB4" w:rsidRDefault="00AB0EB4" w:rsidP="00805CEA">
                  <w:pPr>
                    <w:rPr>
                      <w:rFonts w:ascii="Copperplate Gothic Bold" w:hAnsi="Copperplate Gothic Bold"/>
                      <w:sz w:val="44"/>
                    </w:rPr>
                  </w:pP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AB0EB4" w:rsidRDefault="00AB0EB4" w:rsidP="00805CEA">
                  <w:pPr>
                    <w:jc w:val="center"/>
                    <w:rPr>
                      <w:rFonts w:ascii="Copperplate Gothic Bold" w:hAnsi="Copperplate Gothic Bold"/>
                      <w:sz w:val="32"/>
                    </w:rPr>
                  </w:pPr>
                  <w:r>
                    <w:rPr>
                      <w:rFonts w:ascii="Copperplate Gothic Bold" w:hAnsi="Copperplate Gothic Bold"/>
                      <w:sz w:val="32"/>
                      <w:szCs w:val="32"/>
                    </w:rPr>
                    <w:t>Summar</w:t>
                  </w:r>
                  <w:r>
                    <w:rPr>
                      <w:rFonts w:ascii="Copperplate Gothic Bold" w:hAnsi="Copperplate Gothic Bold"/>
                      <w:sz w:val="32"/>
                    </w:rPr>
                    <w:t>-2018</w:t>
                  </w:r>
                </w:p>
                <w:p w:rsidR="00AB0EB4" w:rsidRDefault="00AB0EB4" w:rsidP="00805CEA">
                  <w:pPr>
                    <w:jc w:val="center"/>
                    <w:rPr>
                      <w:rFonts w:ascii="Copperplate Gothic Bold" w:hAnsi="Copperplate Gothic Bold"/>
                      <w:sz w:val="32"/>
                    </w:rPr>
                  </w:pPr>
                </w:p>
                <w:p w:rsidR="00AB0EB4" w:rsidRDefault="00AB0EB4" w:rsidP="00805CEA">
                  <w:pPr>
                    <w:jc w:val="center"/>
                    <w:rPr>
                      <w:rFonts w:ascii="Copperplate Gothic Bold" w:hAnsi="Copperplate Gothic Bold"/>
                      <w:sz w:val="32"/>
                    </w:rPr>
                  </w:pPr>
                  <w:r>
                    <w:rPr>
                      <w:rFonts w:ascii="Copperplate Gothic Bold" w:hAnsi="Copperplate Gothic Bold"/>
                      <w:sz w:val="32"/>
                    </w:rPr>
                    <w:t>, 2018</w:t>
                  </w:r>
                </w:p>
                <w:p w:rsidR="00AB0EB4" w:rsidRDefault="00AB0EB4" w:rsidP="00805CEA">
                  <w:pPr>
                    <w:jc w:val="center"/>
                    <w:rPr>
                      <w:rFonts w:ascii="Copperplate Gothic Bold" w:hAnsi="Copperplate Gothic Bold"/>
                      <w:sz w:val="24"/>
                      <w:szCs w:val="24"/>
                    </w:rPr>
                  </w:pPr>
                </w:p>
                <w:p w:rsidR="00AB0EB4" w:rsidRPr="001A064C" w:rsidRDefault="00AB0EB4" w:rsidP="00805CEA">
                  <w:pPr>
                    <w:jc w:val="center"/>
                    <w:rPr>
                      <w:rFonts w:ascii="Copperplate Gothic Bold" w:hAnsi="Copperplate Gothic Bold"/>
                      <w:sz w:val="24"/>
                      <w:szCs w:val="24"/>
                    </w:rPr>
                  </w:pPr>
                </w:p>
              </w:txbxContent>
            </v:textbox>
          </v:shape>
        </w:pict>
      </w:r>
    </w:p>
    <w:p w:rsidR="00805CEA" w:rsidRPr="00F832D4" w:rsidRDefault="00805CEA" w:rsidP="00805CEA">
      <w:pPr>
        <w:ind w:right="-705" w:hanging="567"/>
        <w:rPr>
          <w:rFonts w:asciiTheme="majorBidi" w:hAnsiTheme="majorBidi" w:cstheme="majorBidi"/>
          <w:sz w:val="24"/>
          <w:szCs w:val="24"/>
        </w:rPr>
      </w:pPr>
    </w:p>
    <w:p w:rsidR="00805CEA" w:rsidRPr="00F832D4" w:rsidRDefault="00805CEA" w:rsidP="00805CEA">
      <w:pPr>
        <w:ind w:right="-705" w:hanging="567"/>
        <w:rPr>
          <w:rFonts w:asciiTheme="majorBidi" w:hAnsiTheme="majorBidi" w:cstheme="majorBidi"/>
          <w:sz w:val="24"/>
          <w:szCs w:val="24"/>
        </w:rPr>
      </w:pPr>
    </w:p>
    <w:p w:rsidR="00AB0EB4" w:rsidRPr="00BA4141" w:rsidRDefault="00CA271F" w:rsidP="00670160">
      <w:pPr>
        <w:tabs>
          <w:tab w:val="left" w:pos="3645"/>
        </w:tabs>
        <w:jc w:val="both"/>
        <w:rPr>
          <w:rFonts w:ascii="Book Antiqua" w:hAnsi="Book Antiqua"/>
          <w:sz w:val="24"/>
          <w:szCs w:val="20"/>
        </w:rPr>
      </w:pPr>
      <w:r>
        <w:rPr>
          <w:rFonts w:asciiTheme="majorBidi" w:hAnsiTheme="majorBidi" w:cstheme="majorBidi"/>
          <w:noProof/>
          <w:sz w:val="24"/>
          <w:szCs w:val="24"/>
        </w:rPr>
        <w:pict>
          <v:shape id="Text Box 4" o:spid="_x0000_s1027" type="#_x0000_t202" style="position:absolute;left:0;text-align:left;margin-left:233.25pt;margin-top:104.65pt;width:228pt;height:12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AB0EB4" w:rsidRDefault="00AB0EB4" w:rsidP="00805CEA">
                  <w:pPr>
                    <w:jc w:val="center"/>
                    <w:rPr>
                      <w:rFonts w:ascii="Berlin Sans FB Demi" w:hAnsi="Berlin Sans FB Demi"/>
                    </w:rPr>
                  </w:pPr>
                </w:p>
                <w:p w:rsidR="00AB0EB4" w:rsidRDefault="00AB0EB4" w:rsidP="00805CEA">
                  <w:pPr>
                    <w:jc w:val="center"/>
                    <w:rPr>
                      <w:rFonts w:ascii="Berlin Sans FB Demi" w:hAnsi="Berlin Sans FB Demi"/>
                    </w:rPr>
                  </w:pPr>
                  <w:r>
                    <w:rPr>
                      <w:rFonts w:ascii="Berlin Sans FB Demi" w:hAnsi="Berlin Sans FB Demi"/>
                      <w:sz w:val="28"/>
                    </w:rPr>
                    <w:t>Specialization</w:t>
                  </w:r>
                </w:p>
                <w:p w:rsidR="00AB0EB4" w:rsidRDefault="00AB0EB4" w:rsidP="00805CEA">
                  <w:pPr>
                    <w:jc w:val="center"/>
                    <w:rPr>
                      <w:rFonts w:ascii="Berlin Sans FB Demi" w:hAnsi="Berlin Sans FB Demi"/>
                    </w:rPr>
                  </w:pPr>
                  <w:r>
                    <w:rPr>
                      <w:rFonts w:ascii="Berlin Sans FB Demi" w:hAnsi="Berlin Sans FB Demi"/>
                    </w:rPr>
                    <w:t>Course Code</w:t>
                  </w:r>
                </w:p>
                <w:p w:rsidR="00AB0EB4" w:rsidRDefault="00AB0EB4" w:rsidP="00805CEA">
                  <w:pPr>
                    <w:jc w:val="center"/>
                    <w:rPr>
                      <w:rFonts w:ascii="Berlin Sans FB Demi" w:hAnsi="Berlin Sans FB Demi"/>
                    </w:rPr>
                  </w:pPr>
                </w:p>
                <w:p w:rsidR="00AB0EB4" w:rsidRDefault="00AB0EB4" w:rsidP="00805CEA">
                  <w:pPr>
                    <w:jc w:val="center"/>
                    <w:rPr>
                      <w:rFonts w:ascii="Berlin Sans FB Demi" w:hAnsi="Berlin Sans FB Demi"/>
                    </w:rPr>
                  </w:pPr>
                </w:p>
              </w:txbxContent>
            </v:textbox>
          </v:shape>
        </w:pict>
      </w:r>
      <w:r>
        <w:rPr>
          <w:rFonts w:asciiTheme="majorBidi" w:hAnsiTheme="majorBidi" w:cstheme="majorBidi"/>
          <w:noProof/>
          <w:sz w:val="24"/>
          <w:szCs w:val="24"/>
        </w:rPr>
        <w:pict>
          <v:shape id="Text Box 5" o:spid="_x0000_s1028" type="#_x0000_t202" style="position:absolute;left:0;text-align:left;margin-left:-14.25pt;margin-top:104.65pt;width:228pt;height:12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AB0EB4" w:rsidRDefault="00AB0EB4" w:rsidP="00805CEA">
                  <w:pPr>
                    <w:jc w:val="center"/>
                    <w:rPr>
                      <w:rFonts w:ascii="Berlin Sans FB Demi" w:hAnsi="Berlin Sans FB Demi"/>
                      <w:sz w:val="28"/>
                    </w:rPr>
                  </w:pPr>
                </w:p>
                <w:p w:rsidR="00AB0EB4" w:rsidRDefault="00AB0EB4" w:rsidP="00805CEA">
                  <w:pPr>
                    <w:rPr>
                      <w:rFonts w:ascii="Berlin Sans FB Demi" w:hAnsi="Berlin Sans FB Demi"/>
                      <w:sz w:val="28"/>
                    </w:rPr>
                  </w:pPr>
                  <w:r>
                    <w:rPr>
                      <w:rFonts w:ascii="Berlin Sans FB Demi" w:hAnsi="Berlin Sans FB Demi"/>
                      <w:sz w:val="28"/>
                    </w:rPr>
                    <w:t>Student Name:</w:t>
                  </w:r>
                </w:p>
                <w:p w:rsidR="00AB0EB4" w:rsidRDefault="00AB0EB4" w:rsidP="00805CEA">
                  <w:pPr>
                    <w:rPr>
                      <w:rFonts w:ascii="Berlin Sans FB Demi" w:hAnsi="Berlin Sans FB Demi"/>
                      <w:sz w:val="28"/>
                    </w:rPr>
                  </w:pPr>
                </w:p>
                <w:p w:rsidR="00AB0EB4" w:rsidRDefault="00AB0EB4" w:rsidP="00805CEA">
                  <w:pPr>
                    <w:rPr>
                      <w:rFonts w:ascii="Berlin Sans FB Demi" w:hAnsi="Berlin Sans FB Demi"/>
                      <w:sz w:val="28"/>
                    </w:rPr>
                  </w:pPr>
                  <w:r>
                    <w:rPr>
                      <w:rFonts w:ascii="Berlin Sans FB Demi" w:hAnsi="Berlin Sans FB Demi"/>
                      <w:sz w:val="28"/>
                    </w:rPr>
                    <w:t>Registration Number:</w:t>
                  </w:r>
                </w:p>
                <w:p w:rsidR="00AB0EB4" w:rsidRDefault="00AB0EB4" w:rsidP="00805CEA">
                  <w:pPr>
                    <w:rPr>
                      <w:rFonts w:ascii="Berlin Sans FB Demi" w:hAnsi="Berlin Sans FB Demi"/>
                      <w:sz w:val="28"/>
                    </w:rPr>
                  </w:pPr>
                </w:p>
                <w:p w:rsidR="00AB0EB4" w:rsidRDefault="00AB0EB4" w:rsidP="00805CEA">
                  <w:pPr>
                    <w:rPr>
                      <w:rFonts w:ascii="Berlin Sans FB Demi" w:hAnsi="Berlin Sans FB Demi"/>
                      <w:sz w:val="28"/>
                    </w:rPr>
                  </w:pPr>
                  <w:r>
                    <w:rPr>
                      <w:rFonts w:ascii="Berlin Sans FB Demi" w:hAnsi="Berlin Sans FB Demi"/>
                      <w:sz w:val="28"/>
                    </w:rPr>
                    <w:t>Exam Center:</w:t>
                  </w:r>
                </w:p>
                <w:p w:rsidR="00AB0EB4" w:rsidRDefault="00AB0EB4" w:rsidP="00805CEA">
                  <w:r>
                    <w:rPr>
                      <w:rFonts w:ascii="Berlin Sans FB Demi" w:hAnsi="Berlin Sans FB Demi"/>
                      <w:sz w:val="28"/>
                    </w:rPr>
                    <w:tab/>
                  </w:r>
                </w:p>
              </w:txbxContent>
            </v:textbox>
          </v:shape>
        </w:pict>
      </w:r>
      <w:r>
        <w:rPr>
          <w:rFonts w:asciiTheme="majorBidi" w:hAnsiTheme="majorBidi" w:cstheme="majorBidi"/>
          <w:noProof/>
          <w:sz w:val="24"/>
          <w:szCs w:val="24"/>
        </w:rPr>
        <w:pict>
          <v:shape id="Text Box 3" o:spid="_x0000_s1029" type="#_x0000_t202" style="position:absolute;left:0;text-align:left;margin-left:-14.25pt;margin-top:244.65pt;width:475.5pt;height:127.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AB0EB4" w:rsidRPr="00AB0EB4" w:rsidRDefault="00AB0EB4" w:rsidP="00AB0EB4">
                  <w:r w:rsidRPr="00AB0EB4">
                    <w:rPr>
                      <w:rFonts w:ascii="Copperplate Gothic Bold" w:hAnsi="Copperplate Gothic Bold"/>
                      <w:sz w:val="44"/>
                    </w:rPr>
                    <w:t>Business Analysis and Decision Making</w:t>
                  </w:r>
                </w:p>
              </w:txbxContent>
            </v:textbox>
          </v:shape>
        </w:pict>
      </w:r>
      <w:r>
        <w:rPr>
          <w:rFonts w:asciiTheme="majorBidi" w:hAnsiTheme="majorBidi" w:cstheme="majorBidi"/>
          <w:noProof/>
          <w:sz w:val="24"/>
          <w:szCs w:val="24"/>
        </w:rPr>
        <w:pict>
          <v:shape id="Text Box 2" o:spid="_x0000_s1030" type="#_x0000_t202" style="position:absolute;left:0;text-align:left;margin-left:-14.25pt;margin-top:383.4pt;width:228pt;height:127.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AB0EB4" w:rsidRDefault="00AB0EB4" w:rsidP="00F020FB">
                  <w:pPr>
                    <w:rPr>
                      <w:rFonts w:ascii="Arial" w:hAnsi="Arial" w:cs="Arial"/>
                      <w:b/>
                      <w:sz w:val="18"/>
                    </w:rPr>
                  </w:pPr>
                  <w:r w:rsidRPr="00C03376">
                    <w:rPr>
                      <w:rFonts w:ascii="Arial" w:hAnsi="Arial" w:cs="Arial"/>
                      <w:b/>
                      <w:sz w:val="18"/>
                    </w:rPr>
                    <w:t>Time allowed</w:t>
                  </w:r>
                </w:p>
                <w:p w:rsidR="00AB0EB4" w:rsidRDefault="00AB0EB4" w:rsidP="00F020FB">
                  <w:pPr>
                    <w:rPr>
                      <w:rFonts w:ascii="Arial" w:hAnsi="Arial" w:cs="Arial"/>
                      <w:b/>
                      <w:sz w:val="18"/>
                    </w:rPr>
                  </w:pPr>
                </w:p>
                <w:p w:rsidR="00AB0EB4" w:rsidRPr="00C03376" w:rsidRDefault="00AB0EB4" w:rsidP="00F020FB">
                  <w:pPr>
                    <w:rPr>
                      <w:rFonts w:ascii="Arial" w:hAnsi="Arial" w:cs="Arial"/>
                      <w:b/>
                      <w:sz w:val="18"/>
                    </w:rPr>
                  </w:pPr>
                </w:p>
                <w:p w:rsidR="00AB0EB4" w:rsidRDefault="00AB0EB4" w:rsidP="00F020FB">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AB0EB4" w:rsidRPr="00C03376" w:rsidRDefault="00AB0EB4" w:rsidP="00F020FB">
                  <w:pPr>
                    <w:rPr>
                      <w:rFonts w:ascii="Arial" w:hAnsi="Arial" w:cs="Arial"/>
                      <w:sz w:val="18"/>
                    </w:rPr>
                  </w:pPr>
                </w:p>
                <w:p w:rsidR="00AB0EB4" w:rsidRPr="00C03376" w:rsidRDefault="00AB0EB4" w:rsidP="00F020FB">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AB0EB4" w:rsidRPr="00905C83" w:rsidRDefault="00AB0EB4" w:rsidP="00805CEA">
                  <w:pPr>
                    <w:rPr>
                      <w:rFonts w:ascii="Arial" w:hAnsi="Arial"/>
                    </w:rPr>
                  </w:pPr>
                </w:p>
              </w:txbxContent>
            </v:textbox>
          </v:shape>
        </w:pict>
      </w:r>
      <w:r>
        <w:rPr>
          <w:rFonts w:asciiTheme="majorBidi" w:hAnsiTheme="majorBidi" w:cstheme="majorBidi"/>
          <w:noProof/>
          <w:sz w:val="24"/>
          <w:szCs w:val="24"/>
        </w:rPr>
        <w:pict>
          <v:shape id="Text Box 1" o:spid="_x0000_s1031" type="#_x0000_t202" style="position:absolute;left:0;text-align:left;margin-left:233.25pt;margin-top:384.15pt;width:228pt;height:12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AB0EB4" w:rsidRDefault="00AB0EB4" w:rsidP="00F020FB">
                  <w:pPr>
                    <w:autoSpaceDE w:val="0"/>
                    <w:autoSpaceDN w:val="0"/>
                    <w:adjustRightInd w:val="0"/>
                    <w:jc w:val="both"/>
                    <w:rPr>
                      <w:rFonts w:ascii="Arial" w:hAnsi="Arial" w:cs="Arial"/>
                      <w:b/>
                      <w:bCs/>
                      <w:sz w:val="18"/>
                      <w:szCs w:val="18"/>
                    </w:rPr>
                  </w:pPr>
                </w:p>
                <w:p w:rsidR="00AB0EB4" w:rsidRDefault="00AB0EB4" w:rsidP="00F020FB">
                  <w:pPr>
                    <w:autoSpaceDE w:val="0"/>
                    <w:autoSpaceDN w:val="0"/>
                    <w:adjustRightInd w:val="0"/>
                    <w:jc w:val="both"/>
                    <w:rPr>
                      <w:rFonts w:ascii="Arial" w:hAnsi="Arial" w:cs="Arial"/>
                      <w:b/>
                      <w:bCs/>
                      <w:sz w:val="18"/>
                      <w:szCs w:val="18"/>
                    </w:rPr>
                  </w:pPr>
                </w:p>
                <w:p w:rsidR="00AB0EB4" w:rsidRDefault="00AB0EB4" w:rsidP="00F020FB">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AB0EB4" w:rsidRPr="00ED71C0" w:rsidRDefault="00AB0EB4" w:rsidP="00F020FB">
                  <w:pPr>
                    <w:autoSpaceDE w:val="0"/>
                    <w:autoSpaceDN w:val="0"/>
                    <w:adjustRightInd w:val="0"/>
                    <w:jc w:val="both"/>
                    <w:rPr>
                      <w:rFonts w:ascii="Arial" w:hAnsi="Arial" w:cs="Arial"/>
                      <w:b/>
                      <w:bCs/>
                      <w:sz w:val="18"/>
                      <w:szCs w:val="18"/>
                    </w:rPr>
                  </w:pPr>
                </w:p>
                <w:p w:rsidR="00AB0EB4" w:rsidRPr="00ED71C0" w:rsidRDefault="00AB0EB4"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Attempt any five questions.</w:t>
                  </w:r>
                </w:p>
                <w:p w:rsidR="00AB0EB4" w:rsidRPr="00ED71C0" w:rsidRDefault="00AB0EB4"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AB0EB4" w:rsidRPr="00ED71C0" w:rsidRDefault="00AB0EB4" w:rsidP="00811DD8">
                  <w:pPr>
                    <w:pStyle w:val="ListParagraph"/>
                    <w:widowControl/>
                    <w:numPr>
                      <w:ilvl w:val="0"/>
                      <w:numId w:val="1"/>
                    </w:numPr>
                    <w:spacing w:after="120" w:line="276" w:lineRule="auto"/>
                    <w:contextualSpacing/>
                    <w:jc w:val="both"/>
                    <w:rPr>
                      <w:rFonts w:ascii="Arial" w:hAnsi="Arial"/>
                      <w:sz w:val="18"/>
                      <w:szCs w:val="18"/>
                    </w:rPr>
                  </w:pPr>
                  <w:r w:rsidRPr="00ED71C0">
                    <w:rPr>
                      <w:rFonts w:ascii="Arial" w:hAnsi="Arial"/>
                      <w:color w:val="000000"/>
                      <w:sz w:val="18"/>
                      <w:szCs w:val="18"/>
                    </w:rPr>
                    <w:t>Neatness and style will be taken into account in marking the papers.</w:t>
                  </w:r>
                </w:p>
                <w:p w:rsidR="00AB0EB4" w:rsidRPr="00F020FB" w:rsidRDefault="00AB0EB4" w:rsidP="007B2073">
                  <w:pPr>
                    <w:widowControl/>
                    <w:spacing w:after="120" w:line="276" w:lineRule="auto"/>
                    <w:ind w:left="360"/>
                    <w:contextualSpacing/>
                    <w:jc w:val="both"/>
                    <w:rPr>
                      <w:rFonts w:asciiTheme="minorBidi" w:hAnsiTheme="minorBidi"/>
                      <w:sz w:val="18"/>
                      <w:szCs w:val="18"/>
                    </w:rPr>
                  </w:pPr>
                </w:p>
              </w:txbxContent>
            </v:textbox>
          </v:shape>
        </w:pict>
      </w:r>
      <w:r w:rsidR="00805CEA" w:rsidRPr="00F832D4">
        <w:rPr>
          <w:rFonts w:asciiTheme="majorBidi" w:hAnsiTheme="majorBidi" w:cstheme="majorBidi"/>
          <w:sz w:val="24"/>
          <w:szCs w:val="24"/>
          <w:shd w:val="clear" w:color="auto" w:fill="000000"/>
        </w:rPr>
        <w:br w:type="page"/>
      </w:r>
    </w:p>
    <w:p w:rsidR="00805CEA" w:rsidRDefault="00805CEA" w:rsidP="00AB0EB4">
      <w:pPr>
        <w:spacing w:after="240"/>
        <w:ind w:right="-705" w:hanging="567"/>
        <w:contextualSpacing/>
        <w:rPr>
          <w:rFonts w:asciiTheme="majorBidi" w:hAnsiTheme="majorBidi" w:cstheme="majorBidi"/>
          <w:sz w:val="24"/>
          <w:szCs w:val="24"/>
        </w:rPr>
      </w:pP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Question</w:t>
      </w:r>
      <w:r>
        <w:rPr>
          <w:rFonts w:ascii="Book Antiqua" w:hAnsi="Book Antiqua"/>
          <w:b/>
          <w:sz w:val="24"/>
          <w:szCs w:val="20"/>
        </w:rPr>
        <w:t xml:space="preserve"> No </w:t>
      </w:r>
      <w:r w:rsidR="00670160">
        <w:rPr>
          <w:rFonts w:ascii="Book Antiqua" w:hAnsi="Book Antiqua"/>
          <w:b/>
          <w:sz w:val="24"/>
          <w:szCs w:val="20"/>
        </w:rPr>
        <w:t>1</w:t>
      </w:r>
      <w:r w:rsidRPr="00BA4141">
        <w:rPr>
          <w:rFonts w:ascii="Book Antiqua" w:hAnsi="Book Antiqua"/>
          <w:b/>
          <w:sz w:val="24"/>
          <w:szCs w:val="20"/>
        </w:rPr>
        <w:t>:-</w:t>
      </w: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Introduction</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TMP (The Management Press) is a specialist business publisher; commissioning, printing and distributing books on financial and business management. It is based in a small town in Arcadia, a high-cost economy, where their printing works were established fifty years ago. 60% of the company’s sales are made through bookshops in Arcadia. In these bookshops TMP’s books are displayed in a custom-built display case specifically designed for TMP. 30% of TMP’s sales are through mail order generated by full-page display advertisements in magazines and journals. Most of these sales are to customers based outside Arcadia. The final 10% of sales are made through a newly established website which offers a restricted range of books. These books are typically very specialised and are rarely featured in display advertising or stocked by general bookshops. The books available on the website are selected to avoid conflict with established supply channels. Most of the online sales are to customers based in Arcadia. High selling prices and high distribution costs makes TMP’s books expensive to buy outside Arcadia.</w:t>
      </w:r>
    </w:p>
    <w:p w:rsidR="00AB0EB4" w:rsidRDefault="00AB0EB4" w:rsidP="00AB0EB4">
      <w:pPr>
        <w:tabs>
          <w:tab w:val="left" w:pos="3645"/>
        </w:tabs>
        <w:jc w:val="both"/>
        <w:rPr>
          <w:rFonts w:ascii="Book Antiqua" w:hAnsi="Book Antiqua"/>
          <w:b/>
          <w:sz w:val="24"/>
          <w:szCs w:val="20"/>
        </w:rPr>
      </w:pPr>
    </w:p>
    <w:p w:rsidR="00AB0EB4" w:rsidRDefault="00AB0EB4" w:rsidP="00AB0EB4">
      <w:pPr>
        <w:tabs>
          <w:tab w:val="left" w:pos="3645"/>
        </w:tabs>
        <w:jc w:val="both"/>
        <w:rPr>
          <w:rFonts w:ascii="Book Antiqua" w:hAnsi="Book Antiqua"/>
          <w:b/>
          <w:sz w:val="24"/>
          <w:szCs w:val="20"/>
        </w:rPr>
      </w:pP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Business changes</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In the last decade costs have increased as the raw materials (particularly timber) used in book production have become dearer. Paper is extremely expensive in Arcadia and the trees used to produce it are becoming scarcer. Online book sellers have also emerged who are able to discount prices by exploiting economies of scale and eliminating bookshop costs. In Arcadia, it is estimated that three bookshops go out of business every week. Furthermore, the influential journal ‘Management Focus’, one of the journals where TMP advertised their books, also recently ceased production. TMP itself has suffered three years of declining sales and profits. Expenditure on marketing has been reduced significantly in this period and further reductions in the marketing budget are likely because of the weak financial position of the company. Overall, there is increasing pressure on the company to increase profit margins and sales.</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Despite the poor financial results, the directors of TMP are keen to maintain the established supply channels. One of them, the son of the founder of the company, has stated that ‘bookshops need all the help they can get and management journals are the heart of our industry’.</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However, the marketing director is keen for the company to re-visit its business model. He increasingly believes that TMP’s conventional approach to book production, distribution and marketing is not sustainable. He wishes to re-examine certain elements of the marketing mix in the context of the opportunities offered by e-business.</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 xml:space="preserve">A young marketing graduate has been appointed by the marketing director to develop and maintain the website. However, further development of the website has not been sanctioned by the Board. Other directors have given two main reasons for blocking further development of this site. Firstly, they believe that the company does not have sufficient expertise to continue developing and maintaining its own website. It is solely </w:t>
      </w:r>
      <w:r w:rsidRPr="00BA4141">
        <w:rPr>
          <w:rFonts w:ascii="Book Antiqua" w:hAnsi="Book Antiqua"/>
          <w:sz w:val="24"/>
          <w:szCs w:val="20"/>
        </w:rPr>
        <w:lastRenderedPageBreak/>
        <w:t>dependent on the marketing graduate. Secondly, they feel that the website will compete with the established supply channels which they are keen to preserve.</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However, the marketing director is convinced that investing in e-business is essential for the survival of TMP. ‘We need to consider what unique opportunities it offers for pricing the product, promoting the product, placing the product and providing physical evidence of the quality of the product. Finally, we might even re-defi ne the product itself’. He feels if the company fails to grasp these opportunities, then one of its competitors will, and ‘that will be the end of us’.</w:t>
      </w: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Required:</w:t>
      </w:r>
    </w:p>
    <w:p w:rsidR="00AB0EB4" w:rsidRPr="00BA4141" w:rsidRDefault="00AB0EB4" w:rsidP="00387FB1">
      <w:pPr>
        <w:pStyle w:val="ListParagraph"/>
        <w:widowControl/>
        <w:numPr>
          <w:ilvl w:val="0"/>
          <w:numId w:val="2"/>
        </w:numPr>
        <w:tabs>
          <w:tab w:val="left" w:pos="3645"/>
        </w:tabs>
        <w:spacing w:after="200" w:line="276" w:lineRule="auto"/>
        <w:contextualSpacing/>
        <w:jc w:val="both"/>
        <w:rPr>
          <w:rFonts w:ascii="Book Antiqua" w:hAnsi="Book Antiqua"/>
          <w:b/>
          <w:sz w:val="24"/>
          <w:szCs w:val="20"/>
        </w:rPr>
      </w:pPr>
      <w:r w:rsidRPr="00BA4141">
        <w:rPr>
          <w:rFonts w:ascii="Book Antiqua" w:hAnsi="Book Antiqua"/>
          <w:b/>
          <w:sz w:val="24"/>
          <w:szCs w:val="20"/>
        </w:rPr>
        <w:t xml:space="preserve">Determine the main drivers for the adoption of e-business at TMP and identify potential barriers to its adoption. </w:t>
      </w:r>
    </w:p>
    <w:p w:rsidR="00AB0EB4" w:rsidRPr="00BA4141" w:rsidRDefault="00AB0EB4" w:rsidP="00387FB1">
      <w:pPr>
        <w:pStyle w:val="ListParagraph"/>
        <w:widowControl/>
        <w:numPr>
          <w:ilvl w:val="0"/>
          <w:numId w:val="2"/>
        </w:numPr>
        <w:tabs>
          <w:tab w:val="left" w:pos="3645"/>
        </w:tabs>
        <w:spacing w:after="200" w:line="276" w:lineRule="auto"/>
        <w:contextualSpacing/>
        <w:jc w:val="both"/>
        <w:rPr>
          <w:rFonts w:ascii="Book Antiqua" w:hAnsi="Book Antiqua"/>
          <w:b/>
          <w:sz w:val="24"/>
          <w:szCs w:val="20"/>
        </w:rPr>
      </w:pPr>
      <w:r w:rsidRPr="00BA4141">
        <w:rPr>
          <w:rFonts w:ascii="Book Antiqua" w:hAnsi="Book Antiqua"/>
          <w:b/>
          <w:sz w:val="24"/>
          <w:szCs w:val="20"/>
        </w:rPr>
        <w:t>Evaluate how e-business might help TMP exploit each of the five elements of the marketing mix (price, product, promotion, place and physical evidence) identified by the marketing director.</w:t>
      </w: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Answer:-</w:t>
      </w:r>
    </w:p>
    <w:p w:rsidR="00AB0EB4" w:rsidRPr="00BA4141" w:rsidRDefault="00AB0EB4" w:rsidP="00387FB1">
      <w:pPr>
        <w:pStyle w:val="ListParagraph"/>
        <w:widowControl/>
        <w:numPr>
          <w:ilvl w:val="0"/>
          <w:numId w:val="4"/>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The main drivers for the adoption of e-business at TMP are:</w:t>
      </w:r>
    </w:p>
    <w:p w:rsidR="00AB0EB4" w:rsidRPr="00BA4141" w:rsidRDefault="00AB0EB4" w:rsidP="00387FB1">
      <w:pPr>
        <w:pStyle w:val="ListParagraph"/>
        <w:widowControl/>
        <w:numPr>
          <w:ilvl w:val="0"/>
          <w:numId w:val="3"/>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Cost reduction, specifically raw material costs (the cost of paper) and distribution costs to bookshops.</w:t>
      </w:r>
    </w:p>
    <w:p w:rsidR="00AB0EB4" w:rsidRPr="00BA4141" w:rsidRDefault="00AB0EB4" w:rsidP="00387FB1">
      <w:pPr>
        <w:pStyle w:val="ListParagraph"/>
        <w:widowControl/>
        <w:numPr>
          <w:ilvl w:val="0"/>
          <w:numId w:val="3"/>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Improved profit margin, perhaps achieved by removing the bookshop as an intermediary.</w:t>
      </w:r>
    </w:p>
    <w:p w:rsidR="00AB0EB4" w:rsidRPr="00BA4141" w:rsidRDefault="00AB0EB4" w:rsidP="00387FB1">
      <w:pPr>
        <w:pStyle w:val="ListParagraph"/>
        <w:widowControl/>
        <w:numPr>
          <w:ilvl w:val="0"/>
          <w:numId w:val="3"/>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Increased revenue, increasing sales (as well as profit margins) is an important objective.</w:t>
      </w:r>
    </w:p>
    <w:p w:rsidR="00AB0EB4" w:rsidRPr="00BA4141" w:rsidRDefault="00AB0EB4" w:rsidP="00387FB1">
      <w:pPr>
        <w:pStyle w:val="ListParagraph"/>
        <w:widowControl/>
        <w:numPr>
          <w:ilvl w:val="0"/>
          <w:numId w:val="3"/>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The desire to keep up-to-date (exemplified by the marketing director) and hence to avoid losing market share to businesses prepared to embrace e-business.</w:t>
      </w:r>
    </w:p>
    <w:p w:rsidR="00AB0EB4" w:rsidRPr="00BA4141" w:rsidRDefault="00AB0EB4" w:rsidP="00387FB1">
      <w:pPr>
        <w:pStyle w:val="ListParagraph"/>
        <w:widowControl/>
        <w:numPr>
          <w:ilvl w:val="0"/>
          <w:numId w:val="3"/>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Increased ecological concern about the use of timber for paper manufacture. The trees used to provide the timber are becoming increasingly scarce.</w:t>
      </w:r>
    </w:p>
    <w:p w:rsidR="00AB0EB4" w:rsidRPr="00BA4141" w:rsidRDefault="00AB0EB4" w:rsidP="00387FB1">
      <w:pPr>
        <w:pStyle w:val="ListParagraph"/>
        <w:widowControl/>
        <w:numPr>
          <w:ilvl w:val="0"/>
          <w:numId w:val="3"/>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People, in the shape of the marketing director and the graduate recruited to develop the website.</w:t>
      </w:r>
    </w:p>
    <w:p w:rsidR="00AB0EB4" w:rsidRPr="00BA4141" w:rsidRDefault="00AB0EB4" w:rsidP="00AB0EB4">
      <w:pPr>
        <w:tabs>
          <w:tab w:val="left" w:pos="3645"/>
        </w:tabs>
        <w:ind w:firstLine="720"/>
        <w:jc w:val="both"/>
        <w:rPr>
          <w:rFonts w:ascii="Book Antiqua" w:hAnsi="Book Antiqua"/>
          <w:sz w:val="24"/>
          <w:szCs w:val="20"/>
        </w:rPr>
      </w:pPr>
      <w:r w:rsidRPr="00BA4141">
        <w:rPr>
          <w:rFonts w:ascii="Book Antiqua" w:hAnsi="Book Antiqua"/>
          <w:sz w:val="24"/>
          <w:szCs w:val="20"/>
        </w:rPr>
        <w:t>The main barriers to the adoption of e-business at TMP are:</w:t>
      </w:r>
    </w:p>
    <w:p w:rsidR="00AB0EB4" w:rsidRPr="00BA4141" w:rsidRDefault="00AB0EB4" w:rsidP="00387FB1">
      <w:pPr>
        <w:pStyle w:val="ListParagraph"/>
        <w:widowControl/>
        <w:numPr>
          <w:ilvl w:val="0"/>
          <w:numId w:val="3"/>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Concerns about the cost of developing the website, particularly when revenue and profits are decreasing. Marketing expenditure has been reduced and this is likely to continue.</w:t>
      </w:r>
    </w:p>
    <w:p w:rsidR="00AB0EB4" w:rsidRPr="00BA4141" w:rsidRDefault="00AB0EB4" w:rsidP="00387FB1">
      <w:pPr>
        <w:pStyle w:val="ListParagraph"/>
        <w:widowControl/>
        <w:numPr>
          <w:ilvl w:val="0"/>
          <w:numId w:val="3"/>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Concerns that it will destroy the relationship with bookshops and those sales will decrease overall as a result. Destroying existing channels is often a major barrier to change.</w:t>
      </w:r>
    </w:p>
    <w:p w:rsidR="00AB0EB4" w:rsidRPr="00BA4141" w:rsidRDefault="00AB0EB4" w:rsidP="00387FB1">
      <w:pPr>
        <w:pStyle w:val="ListParagraph"/>
        <w:widowControl/>
        <w:numPr>
          <w:ilvl w:val="0"/>
          <w:numId w:val="3"/>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Lack of technical ability within the company to develop and maintain the website and the impact this may have on its long-term viability.</w:t>
      </w:r>
    </w:p>
    <w:p w:rsidR="00AB0EB4" w:rsidRPr="00BA4141" w:rsidRDefault="00AB0EB4" w:rsidP="00387FB1">
      <w:pPr>
        <w:pStyle w:val="ListParagraph"/>
        <w:widowControl/>
        <w:numPr>
          <w:ilvl w:val="0"/>
          <w:numId w:val="3"/>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lastRenderedPageBreak/>
        <w:t>Concern about fraud and piracy. This may be within the context of the financial transactions of e-commerce. It may also reflect concerns about the pirating of books, leading to either cheap printed versions being produced and sold in local markets or to illegitimate copies being sold and distributed on the web.</w:t>
      </w:r>
    </w:p>
    <w:p w:rsidR="00AB0EB4" w:rsidRPr="00BA4141" w:rsidRDefault="00AB0EB4" w:rsidP="00387FB1">
      <w:pPr>
        <w:pStyle w:val="ListParagraph"/>
        <w:widowControl/>
        <w:numPr>
          <w:ilvl w:val="0"/>
          <w:numId w:val="3"/>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Other directors could be perceived as a barrier to the adoption of e-business.</w:t>
      </w:r>
    </w:p>
    <w:p w:rsidR="00AB0EB4" w:rsidRPr="00BA4141" w:rsidRDefault="00AB0EB4" w:rsidP="00AB0EB4">
      <w:pPr>
        <w:pStyle w:val="ListParagraph"/>
        <w:tabs>
          <w:tab w:val="left" w:pos="3645"/>
        </w:tabs>
        <w:ind w:left="1080"/>
        <w:jc w:val="both"/>
        <w:rPr>
          <w:rFonts w:ascii="Book Antiqua" w:hAnsi="Book Antiqua"/>
          <w:sz w:val="24"/>
          <w:szCs w:val="20"/>
        </w:rPr>
      </w:pPr>
    </w:p>
    <w:p w:rsidR="00AB0EB4" w:rsidRPr="00BA4141" w:rsidRDefault="00AB0EB4" w:rsidP="00387FB1">
      <w:pPr>
        <w:pStyle w:val="ListParagraph"/>
        <w:widowControl/>
        <w:numPr>
          <w:ilvl w:val="0"/>
          <w:numId w:val="4"/>
        </w:numPr>
        <w:tabs>
          <w:tab w:val="left" w:pos="3645"/>
        </w:tabs>
        <w:spacing w:after="200" w:line="276" w:lineRule="auto"/>
        <w:contextualSpacing/>
        <w:jc w:val="both"/>
        <w:rPr>
          <w:rFonts w:ascii="Book Antiqua" w:hAnsi="Book Antiqua"/>
          <w:b/>
          <w:sz w:val="24"/>
          <w:szCs w:val="20"/>
        </w:rPr>
      </w:pPr>
      <w:r w:rsidRPr="00BA4141">
        <w:rPr>
          <w:rFonts w:ascii="Book Antiqua" w:hAnsi="Book Antiqua"/>
          <w:b/>
          <w:sz w:val="24"/>
          <w:szCs w:val="20"/>
        </w:rPr>
        <w:t>Product</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At present, TMP offer conventional physical books. E-business may provide opportunities for either replacing or augmenting this product. For example:</w:t>
      </w:r>
    </w:p>
    <w:p w:rsidR="00AB0EB4" w:rsidRPr="00BA4141" w:rsidRDefault="00AB0EB4" w:rsidP="00387FB1">
      <w:pPr>
        <w:pStyle w:val="ListParagraph"/>
        <w:widowControl/>
        <w:numPr>
          <w:ilvl w:val="0"/>
          <w:numId w:val="3"/>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Replacing the book with an electronic alternative that customers can read directly from the screen, view through an e-book reader or print off at their own cost. This may allow the range of products to be increased, introducing books that would be uneconomic to produce conventionally.</w:t>
      </w:r>
    </w:p>
    <w:p w:rsidR="00AB0EB4" w:rsidRPr="00BA4141" w:rsidRDefault="00AB0EB4" w:rsidP="00387FB1">
      <w:pPr>
        <w:pStyle w:val="ListParagraph"/>
        <w:widowControl/>
        <w:numPr>
          <w:ilvl w:val="0"/>
          <w:numId w:val="3"/>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Augmenting the product by providing supplementary services and features. For example, many text books now have an associated website that includes further case studies, exercises, solutions, simulations etc. This may be particularly applicable to management texts where readers often require further information.</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Using e-business to change the nature of the product should help reinforce two of the drivers identified in the first part of this question. It should help reduce raw material costs as well as helping the company meet environmental targets. Augmenting the product should help deliver a better quality product to customers.</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E-business also offers opportunities for extending the product range, perhaps offering (through intermediaries) management training, financial advice and other related services.</w:t>
      </w:r>
    </w:p>
    <w:p w:rsidR="00AB0EB4" w:rsidRPr="00BA4141" w:rsidRDefault="00AB0EB4" w:rsidP="00AB0EB4">
      <w:pPr>
        <w:tabs>
          <w:tab w:val="left" w:pos="3645"/>
        </w:tabs>
        <w:ind w:left="720"/>
        <w:jc w:val="both"/>
        <w:rPr>
          <w:rFonts w:ascii="Book Antiqua" w:hAnsi="Book Antiqua"/>
          <w:b/>
          <w:sz w:val="24"/>
          <w:szCs w:val="20"/>
        </w:rPr>
      </w:pPr>
      <w:r w:rsidRPr="00BA4141">
        <w:rPr>
          <w:rFonts w:ascii="Book Antiqua" w:hAnsi="Book Antiqua"/>
          <w:b/>
          <w:sz w:val="24"/>
          <w:szCs w:val="20"/>
        </w:rPr>
        <w:t>Price</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At present TMP largely sells through bookshops and so the TMP price has to reflect a profit margin for the bookshop. If TMP exploits e-business to develop a channel that eliminates bookshops, then it should be able to simultaneously discount the price of the book and yet still improve their profit margin. E-business may also be an opportunity to experiment with differential pricing. The scenario notes that overseas sales are low because of the relatively high sales price of books. TMP may be able to combine differential pricing (in local currencies) with electronic alternatives to find a product that is saleable in these markets.</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TMP has to be aware of any price-comparison websites and be prepared to monitor costs on these sites and react accordingly.</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 xml:space="preserve">They also have to be aware of large established channels, such as Amazon. Such sites will expect keen pricing, but will also pay commissions on books sold </w:t>
      </w:r>
      <w:r w:rsidRPr="00BA4141">
        <w:rPr>
          <w:rFonts w:ascii="Book Antiqua" w:hAnsi="Book Antiqua"/>
          <w:sz w:val="24"/>
          <w:szCs w:val="20"/>
        </w:rPr>
        <w:lastRenderedPageBreak/>
        <w:t>through the site.</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Finally, TMP might seek an alternative price strategy, based for example on subscribing to the site, rather than selling books. A ‘book’ may become a continually updated web resource that customers pay to use on either a one-off or continuing basis.</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There is no need for them to actually own the book themselves. TMP therefore becomes a virtual library.</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Direct pricing to customers also provides the opportunities for special offers, pre-publication prices and other deals. For example, special discount prices on related books can be offered to customers who have placed an order for a specific book.</w:t>
      </w:r>
    </w:p>
    <w:p w:rsidR="00AB0EB4" w:rsidRPr="00BA4141" w:rsidRDefault="00AB0EB4" w:rsidP="00AB0EB4">
      <w:pPr>
        <w:tabs>
          <w:tab w:val="left" w:pos="3645"/>
        </w:tabs>
        <w:ind w:left="720"/>
        <w:jc w:val="both"/>
        <w:rPr>
          <w:rFonts w:ascii="Book Antiqua" w:hAnsi="Book Antiqua"/>
          <w:b/>
          <w:sz w:val="24"/>
          <w:szCs w:val="20"/>
        </w:rPr>
      </w:pPr>
      <w:r w:rsidRPr="00BA4141">
        <w:rPr>
          <w:rFonts w:ascii="Book Antiqua" w:hAnsi="Book Antiqua"/>
          <w:b/>
          <w:sz w:val="24"/>
          <w:szCs w:val="20"/>
        </w:rPr>
        <w:t>Promotion</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At present, promotion is restricted to a custom-built display case at bookshops and full-page display advertisements in magazines and journals. Such promotion reflects a conventional ‘push’ approach to marketing that focuses on the product rather than the customers. If the website records the details of visitors, then the company can identify potential customers for its products and target them in mail-shots and on-line suggestions. For example, customers who have bought certain titles may have others suggested to them when they next visit the site. Many sites also make buying suggestions based on the behavior of other customers, for example displaying ‘other titles which have been bought by customers who have bought this book’.</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E-business will require the company to consider both its online and offline promotion. TMP may be able to reduce its offline expenditure, cutting back on advertising. In its place it might spend elsewhere, particularly in making sure that it figures prominently in search engine listings. Links to other sites should also be considered, allowing promotion of TMP books on related sites. For example, internet sites providing management advice, information and glossaries may have a link to the TMP site. TMP pays commission to the site on sales made through such links. Banner advertising might also be considered on such sites. A similar approach might be used with academic websites where a TMP book is recommended reading for a course.</w:t>
      </w:r>
    </w:p>
    <w:p w:rsidR="00AB0EB4" w:rsidRPr="00BA4141" w:rsidRDefault="00AB0EB4" w:rsidP="00AB0EB4">
      <w:pPr>
        <w:tabs>
          <w:tab w:val="left" w:pos="3645"/>
        </w:tabs>
        <w:ind w:left="720"/>
        <w:jc w:val="both"/>
        <w:rPr>
          <w:rFonts w:ascii="Book Antiqua" w:hAnsi="Book Antiqua"/>
          <w:b/>
          <w:sz w:val="24"/>
          <w:szCs w:val="20"/>
        </w:rPr>
      </w:pPr>
      <w:r w:rsidRPr="00BA4141">
        <w:rPr>
          <w:rFonts w:ascii="Book Antiqua" w:hAnsi="Book Antiqua"/>
          <w:b/>
          <w:sz w:val="24"/>
          <w:szCs w:val="20"/>
        </w:rPr>
        <w:t>Place</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Bookshops have limited reach, although they do provide the facility for the potential buyer to handle the book (see physical evidence). The display advertising has unpredictable reach. Circulation figures are usually provided by journals and magazines but this does not give any information on how many people actually read the advertisements in question. The scenario suggests that both bookshops and journals appear to have declining reach, based on statistics about their closure. The internet has global reach. The relatively small percentage of books currently sold outside Arcadia is attributed to the cost of those books. However, it may be that the rest of the world is simply unfamiliar with TMP’s booklist, a shortcoming that will be addressed by the internet site</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 xml:space="preserve">In wider e-business terms, a consideration of place will also lead to TMP </w:t>
      </w:r>
      <w:r w:rsidRPr="00BA4141">
        <w:rPr>
          <w:rFonts w:ascii="Book Antiqua" w:hAnsi="Book Antiqua"/>
          <w:sz w:val="24"/>
          <w:szCs w:val="20"/>
        </w:rPr>
        <w:lastRenderedPageBreak/>
        <w:t>considering whether it is economic to continue printing in Arcadia which is a high-cost economy. The printing works were established 50 years ago and it seems likely that cost-savings could be gained by printing and distributing the books in lower labour cost economies.</w:t>
      </w:r>
    </w:p>
    <w:p w:rsidR="00AB0EB4" w:rsidRPr="00BA4141" w:rsidRDefault="00AB0EB4" w:rsidP="00AB0EB4">
      <w:pPr>
        <w:tabs>
          <w:tab w:val="left" w:pos="3645"/>
        </w:tabs>
        <w:ind w:left="720"/>
        <w:jc w:val="both"/>
        <w:rPr>
          <w:rFonts w:ascii="Book Antiqua" w:hAnsi="Book Antiqua"/>
          <w:b/>
          <w:sz w:val="24"/>
          <w:szCs w:val="20"/>
        </w:rPr>
      </w:pPr>
      <w:r w:rsidRPr="00BA4141">
        <w:rPr>
          <w:rFonts w:ascii="Book Antiqua" w:hAnsi="Book Antiqua"/>
          <w:b/>
          <w:sz w:val="24"/>
          <w:szCs w:val="20"/>
        </w:rPr>
        <w:t>Physical evidence</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One of the problems in buying books is the ability to look inside those books before purchase. Often titles are insufficient to make a purchasing decision. One of the advantages of the bookshop is that the potential buyer can physically inspect the goods, looking at the content in detail to ensure that it meets their needs. In contrast, physical evidence is not possible at all through display advertising in a journal.</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On the website, it would be possible to allow the potential buyer to view the contents of the book in detail and (usually) one physical chapter. This so-called ‘look inside’ facility allows them to base their buying decision on some (but not all) physical evidence. Further evidence can also be provided by unsolicited recommendations and reviews from other customers. Feedback, comments and rating systems are typical features on a website. These are rarely available through the bookshop. The bookshop employees have rarely read all the books they sell and, if they have read the book, are probably biased towards a sale. Sometimes, reviews have been placed in the book, often from a previous printing or edition. However, these are only the ones sanctioned by the publisher. Unsolicited references are one of the advantages of the website (as long as they are good!).</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The problem of physical evidence can also be addressed by seeing the book as a website resource rather than a physical entity. If the reader pays for access, then very little expenditure is likely on a book that does not fulfill the reader’s requirements and expectations.</w:t>
      </w:r>
    </w:p>
    <w:p w:rsidR="00AB0EB4" w:rsidRDefault="00AB0EB4" w:rsidP="00AB0EB4">
      <w:pPr>
        <w:spacing w:after="240"/>
        <w:ind w:right="-705" w:hanging="567"/>
        <w:contextualSpacing/>
        <w:rPr>
          <w:rFonts w:asciiTheme="majorBidi" w:hAnsiTheme="majorBidi" w:cstheme="majorBidi"/>
          <w:sz w:val="24"/>
          <w:szCs w:val="24"/>
        </w:rPr>
      </w:pPr>
    </w:p>
    <w:p w:rsidR="00AB0EB4" w:rsidRDefault="00AB0EB4" w:rsidP="00AB0EB4">
      <w:pPr>
        <w:spacing w:after="240"/>
        <w:ind w:right="-705" w:hanging="567"/>
        <w:contextualSpacing/>
        <w:rPr>
          <w:rFonts w:asciiTheme="majorBidi" w:hAnsiTheme="majorBidi" w:cstheme="majorBidi"/>
          <w:sz w:val="24"/>
          <w:szCs w:val="24"/>
        </w:rPr>
      </w:pP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Question</w:t>
      </w:r>
      <w:r>
        <w:rPr>
          <w:rFonts w:ascii="Book Antiqua" w:hAnsi="Book Antiqua"/>
          <w:b/>
          <w:sz w:val="24"/>
          <w:szCs w:val="20"/>
        </w:rPr>
        <w:t xml:space="preserve"> No </w:t>
      </w:r>
      <w:r w:rsidR="00670160">
        <w:rPr>
          <w:rFonts w:ascii="Book Antiqua" w:hAnsi="Book Antiqua"/>
          <w:b/>
          <w:sz w:val="24"/>
          <w:szCs w:val="20"/>
        </w:rPr>
        <w:t>2</w:t>
      </w:r>
      <w:r w:rsidRPr="00BA4141">
        <w:rPr>
          <w:rFonts w:ascii="Book Antiqua" w:hAnsi="Book Antiqua"/>
          <w:b/>
          <w:sz w:val="24"/>
          <w:szCs w:val="20"/>
        </w:rPr>
        <w:t>:-</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8-Hats Promotions was formed twenty years ago by Barry Gorkov to plan, organise and run folk festivals in Arcadia. It soon established itself as a major events organiser and diversified into running events for the staff and customers of major companies. For example, for many years it has organised launch events, staff reward days and customer experiences for Kuizan, the car manufacturer. 8-Hats has grown through a combination of organic growth and acquiring similar and complementary companies. Recently, it purchased a travel agent (now operated as the travel department of 8-Hats) to provide travel to and from the events that it organised.</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 xml:space="preserve">Barry Gorkov is himself a flamboyant figure who, in the early years of the company, changed his name to Barry Blunt to reflect his image and approach. He calls all the events ‘jobs’, a terminology used throughout the company. A distinction is made between external jobs (for customers) and internal jobs (within 8-Hats itself). The company is organised on functional lines. The sales and marketing department tenders for external jobs and negotiates contracts. Sales managers receive turnover-related </w:t>
      </w:r>
      <w:r w:rsidRPr="00BA4141">
        <w:rPr>
          <w:rFonts w:ascii="Book Antiqua" w:hAnsi="Book Antiqua"/>
          <w:sz w:val="24"/>
          <w:szCs w:val="20"/>
        </w:rPr>
        <w:lastRenderedPageBreak/>
        <w:t>bonuses and 8-Hats is known in the industry for its aggressive pricing policies. Once a contract is signed, responsibility for the job is passed to the events department which actually organises the event. It is known for its creativity and passion. The operations department has responsibility for running the event (job) on the day and for delivering the vision defined by the events department. The travel department is responsible for any travel arrangements associated with the job. Finally, the finance department is responsible for managing cash flow throughout the job, raising customer invoices, paying supplier invoices and chasing any late payments.</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However, there is increasing friction between the departments. The operations department is often unable to deliver the features and functionality defined by the events department within the budget agreed by the sales manager. Finance is unaware of the cash flow implications of the job. Recently, an event was in jeopardy because suppliers had not been paid. They threatened to withdraw their services from the event. Eventually, Barry Blunt had to resolve friction between finance and other departments by acquiring further funding from the bank. The event went ahead, but it unsettled Kuizan which had commissioned the job. The sales and marketing department has also complained about the margins expected by the travel department, claiming that they are making the company uncompetitive.</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There has been a considerable amount of discussion at 8-Hats about the investment appraisal approach used to evaluate internal jobs. The company does not have sufficient money and resources to carry out all the internal jobs that need doing. Consequently, the finance department has used the Net Present Value (NPV) technique as a way of choosing which jobs should be undertaken. Figure 1 shows an example comparison of two computer system applications that had been under consideration. Job One was selected because its Net Present Value (NPV) was higher ($25,015) than Job Two ($2,090).</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‘I don’t want to tell you about the specific details of the two applications, so I have called them Job One and Job Two’ said Barry. ‘However, in the end, Job One was a disaster. Looking back, we should have gone with Job Two, not Job One. We should have used simple payback, as I am certain that Job Two, even on the initial figures, paid back much sooner than Job One. That approach would have suited our mentality at the time – quick wins. Whoever chose a discount rate of 8% should be fired – inflation has been well below this for the last five years. We should have used 3% or 4%. Also, calculating the IRR would have been useful, as I am sure that Job Two would have shown a better IRR than Job One, particularly as the intangible benefits of improved staff morale appear to be underestimated.</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Intangible benefits are just as important as tangible benefits. Finally, we should definitely have performed a benefits realisation analysis at the end of the feasibility study. Leaving it to after the project had ended was a ridiculous idea.’</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noProof/>
          <w:sz w:val="24"/>
          <w:szCs w:val="20"/>
        </w:rPr>
        <w:lastRenderedPageBreak/>
        <w:drawing>
          <wp:inline distT="0" distB="0" distL="0" distR="0">
            <wp:extent cx="6276975" cy="66960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78451" cy="6697650"/>
                    </a:xfrm>
                    <a:prstGeom prst="rect">
                      <a:avLst/>
                    </a:prstGeom>
                    <a:noFill/>
                    <a:ln>
                      <a:noFill/>
                    </a:ln>
                  </pic:spPr>
                </pic:pic>
              </a:graphicData>
            </a:graphic>
          </wp:inline>
        </w:drawing>
      </w:r>
    </w:p>
    <w:p w:rsidR="00AB0EB4" w:rsidRPr="00B51CF7" w:rsidRDefault="00AB0EB4" w:rsidP="00AB0EB4">
      <w:pPr>
        <w:tabs>
          <w:tab w:val="left" w:pos="3645"/>
        </w:tabs>
        <w:jc w:val="both"/>
        <w:rPr>
          <w:rFonts w:ascii="Book Antiqua" w:hAnsi="Book Antiqua"/>
          <w:b/>
          <w:sz w:val="24"/>
          <w:szCs w:val="20"/>
        </w:rPr>
      </w:pPr>
      <w:r w:rsidRPr="00B51CF7">
        <w:rPr>
          <w:rFonts w:ascii="Book Antiqua" w:hAnsi="Book Antiqua"/>
          <w:b/>
          <w:sz w:val="24"/>
          <w:szCs w:val="20"/>
        </w:rPr>
        <w:t>Required:</w:t>
      </w:r>
    </w:p>
    <w:p w:rsidR="00AB0EB4" w:rsidRPr="00BA4141" w:rsidRDefault="00AB0EB4" w:rsidP="00387FB1">
      <w:pPr>
        <w:pStyle w:val="ListParagraph"/>
        <w:widowControl/>
        <w:numPr>
          <w:ilvl w:val="0"/>
          <w:numId w:val="5"/>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Barry Blunt has criticised the investment appraisal approach used at 8-Hats to evaluate internal jobs. He has made specific comments on payback, discount rate, IRR, intangible benefits and benefits realisation.</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 xml:space="preserve">Critically evaluate Barry’s comments on the investment appraisal approach used at 8-Hats to evaluate internal jobs. </w:t>
      </w:r>
    </w:p>
    <w:p w:rsidR="00AB0EB4" w:rsidRPr="00BA4141" w:rsidRDefault="00AB0EB4" w:rsidP="00387FB1">
      <w:pPr>
        <w:pStyle w:val="ListParagraph"/>
        <w:widowControl/>
        <w:numPr>
          <w:ilvl w:val="0"/>
          <w:numId w:val="5"/>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lastRenderedPageBreak/>
        <w:t>Discuss the principles, benefits and problems of introducing a matrix management structure at 8-Hats.</w:t>
      </w: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Answer:-</w:t>
      </w:r>
    </w:p>
    <w:p w:rsidR="00AB0EB4" w:rsidRPr="00BA4141" w:rsidRDefault="00AB0EB4" w:rsidP="00387FB1">
      <w:pPr>
        <w:pStyle w:val="ListParagraph"/>
        <w:widowControl/>
        <w:numPr>
          <w:ilvl w:val="0"/>
          <w:numId w:val="6"/>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In the scenario, Barry Blunt commented on simple payback (and its supposed advantage over discounted cash flow), the selection of the discount rate, the role of the IRR, the importance of intangible benefits and the realisation of benefits. Each of these five themes is elaborated on below:</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Simple Payback calculation (time to payback)</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Job One All figures in $000</w:t>
      </w:r>
    </w:p>
    <w:tbl>
      <w:tblPr>
        <w:tblStyle w:val="TableGrid"/>
        <w:tblW w:w="0" w:type="auto"/>
        <w:tblInd w:w="1215" w:type="dxa"/>
        <w:tblLook w:val="04A0"/>
      </w:tblPr>
      <w:tblGrid>
        <w:gridCol w:w="2178"/>
        <w:gridCol w:w="990"/>
        <w:gridCol w:w="900"/>
        <w:gridCol w:w="900"/>
        <w:gridCol w:w="990"/>
        <w:gridCol w:w="990"/>
      </w:tblGrid>
      <w:tr w:rsidR="00AB0EB4" w:rsidRPr="00BA4141" w:rsidTr="00AB0EB4">
        <w:tc>
          <w:tcPr>
            <w:tcW w:w="2178" w:type="dxa"/>
          </w:tcPr>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C/F</w:t>
            </w:r>
          </w:p>
        </w:tc>
        <w:tc>
          <w:tcPr>
            <w:tcW w:w="99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0</w:t>
            </w:r>
          </w:p>
        </w:tc>
        <w:tc>
          <w:tcPr>
            <w:tcW w:w="90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-110</w:t>
            </w:r>
          </w:p>
        </w:tc>
        <w:tc>
          <w:tcPr>
            <w:tcW w:w="90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-60</w:t>
            </w:r>
          </w:p>
        </w:tc>
        <w:tc>
          <w:tcPr>
            <w:tcW w:w="99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-45</w:t>
            </w:r>
          </w:p>
        </w:tc>
        <w:tc>
          <w:tcPr>
            <w:tcW w:w="99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-5</w:t>
            </w:r>
          </w:p>
        </w:tc>
      </w:tr>
      <w:tr w:rsidR="00AB0EB4" w:rsidRPr="00BA4141" w:rsidTr="00AB0EB4">
        <w:tc>
          <w:tcPr>
            <w:tcW w:w="2178" w:type="dxa"/>
          </w:tcPr>
          <w:p w:rsidR="00AB0EB4" w:rsidRPr="00BA4141" w:rsidRDefault="00AB0EB4" w:rsidP="00AB0EB4">
            <w:pPr>
              <w:tabs>
                <w:tab w:val="left" w:pos="3645"/>
              </w:tabs>
              <w:jc w:val="both"/>
              <w:rPr>
                <w:rFonts w:ascii="Book Antiqua" w:hAnsi="Book Antiqua"/>
                <w:b/>
                <w:sz w:val="24"/>
                <w:szCs w:val="20"/>
              </w:rPr>
            </w:pPr>
          </w:p>
        </w:tc>
        <w:tc>
          <w:tcPr>
            <w:tcW w:w="99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Year 0</w:t>
            </w:r>
          </w:p>
        </w:tc>
        <w:tc>
          <w:tcPr>
            <w:tcW w:w="90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Year 1</w:t>
            </w:r>
          </w:p>
        </w:tc>
        <w:tc>
          <w:tcPr>
            <w:tcW w:w="90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Year 2</w:t>
            </w:r>
          </w:p>
        </w:tc>
        <w:tc>
          <w:tcPr>
            <w:tcW w:w="99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Year 3</w:t>
            </w:r>
          </w:p>
        </w:tc>
        <w:tc>
          <w:tcPr>
            <w:tcW w:w="99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Year 4</w:t>
            </w:r>
          </w:p>
        </w:tc>
      </w:tr>
      <w:tr w:rsidR="00AB0EB4" w:rsidRPr="00BA4141" w:rsidTr="00AB0EB4">
        <w:tc>
          <w:tcPr>
            <w:tcW w:w="2178" w:type="dxa"/>
          </w:tcPr>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Total costs</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110</w:t>
            </w:r>
          </w:p>
        </w:tc>
        <w:tc>
          <w:tcPr>
            <w:tcW w:w="90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10</w:t>
            </w:r>
          </w:p>
        </w:tc>
        <w:tc>
          <w:tcPr>
            <w:tcW w:w="90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10</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10</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10</w:t>
            </w:r>
          </w:p>
        </w:tc>
      </w:tr>
      <w:tr w:rsidR="00AB0EB4" w:rsidRPr="00BA4141" w:rsidTr="00AB0EB4">
        <w:tc>
          <w:tcPr>
            <w:tcW w:w="2178" w:type="dxa"/>
          </w:tcPr>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Total savings</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0</w:t>
            </w:r>
          </w:p>
        </w:tc>
        <w:tc>
          <w:tcPr>
            <w:tcW w:w="90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60</w:t>
            </w:r>
          </w:p>
        </w:tc>
        <w:tc>
          <w:tcPr>
            <w:tcW w:w="90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25</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50</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70</w:t>
            </w:r>
          </w:p>
        </w:tc>
      </w:tr>
      <w:tr w:rsidR="00AB0EB4" w:rsidRPr="00BA4141" w:rsidTr="00AB0EB4">
        <w:tc>
          <w:tcPr>
            <w:tcW w:w="2178" w:type="dxa"/>
          </w:tcPr>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Cumulative</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-110</w:t>
            </w:r>
          </w:p>
        </w:tc>
        <w:tc>
          <w:tcPr>
            <w:tcW w:w="90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-60</w:t>
            </w:r>
          </w:p>
        </w:tc>
        <w:tc>
          <w:tcPr>
            <w:tcW w:w="90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-45</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-5</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55</w:t>
            </w:r>
          </w:p>
        </w:tc>
      </w:tr>
    </w:tbl>
    <w:p w:rsidR="00AB0EB4" w:rsidRPr="00BA4141" w:rsidRDefault="00AB0EB4" w:rsidP="00AB0EB4">
      <w:pPr>
        <w:tabs>
          <w:tab w:val="left" w:pos="3645"/>
        </w:tabs>
        <w:ind w:left="720"/>
        <w:jc w:val="both"/>
        <w:rPr>
          <w:rFonts w:ascii="Book Antiqua" w:hAnsi="Book Antiqua"/>
          <w:sz w:val="24"/>
          <w:szCs w:val="20"/>
        </w:rPr>
      </w:pP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Job Two All figures in $000</w:t>
      </w:r>
    </w:p>
    <w:tbl>
      <w:tblPr>
        <w:tblStyle w:val="TableGrid"/>
        <w:tblW w:w="0" w:type="auto"/>
        <w:tblInd w:w="1215" w:type="dxa"/>
        <w:tblLook w:val="04A0"/>
      </w:tblPr>
      <w:tblGrid>
        <w:gridCol w:w="2178"/>
        <w:gridCol w:w="990"/>
        <w:gridCol w:w="900"/>
        <w:gridCol w:w="900"/>
        <w:gridCol w:w="990"/>
        <w:gridCol w:w="990"/>
      </w:tblGrid>
      <w:tr w:rsidR="00AB0EB4" w:rsidRPr="00BA4141" w:rsidTr="00AB0EB4">
        <w:tc>
          <w:tcPr>
            <w:tcW w:w="2178" w:type="dxa"/>
          </w:tcPr>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C/F</w:t>
            </w:r>
          </w:p>
        </w:tc>
        <w:tc>
          <w:tcPr>
            <w:tcW w:w="99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0</w:t>
            </w:r>
          </w:p>
        </w:tc>
        <w:tc>
          <w:tcPr>
            <w:tcW w:w="90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-90</w:t>
            </w:r>
          </w:p>
        </w:tc>
        <w:tc>
          <w:tcPr>
            <w:tcW w:w="90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-50</w:t>
            </w:r>
          </w:p>
        </w:tc>
        <w:tc>
          <w:tcPr>
            <w:tcW w:w="99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-35</w:t>
            </w:r>
          </w:p>
        </w:tc>
        <w:tc>
          <w:tcPr>
            <w:tcW w:w="99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-5</w:t>
            </w:r>
          </w:p>
        </w:tc>
      </w:tr>
      <w:tr w:rsidR="00AB0EB4" w:rsidRPr="00BA4141" w:rsidTr="00AB0EB4">
        <w:tc>
          <w:tcPr>
            <w:tcW w:w="2178" w:type="dxa"/>
          </w:tcPr>
          <w:p w:rsidR="00AB0EB4" w:rsidRPr="00BA4141" w:rsidRDefault="00AB0EB4" w:rsidP="00AB0EB4">
            <w:pPr>
              <w:tabs>
                <w:tab w:val="left" w:pos="3645"/>
              </w:tabs>
              <w:jc w:val="both"/>
              <w:rPr>
                <w:rFonts w:ascii="Book Antiqua" w:hAnsi="Book Antiqua"/>
                <w:b/>
                <w:sz w:val="24"/>
                <w:szCs w:val="20"/>
              </w:rPr>
            </w:pPr>
          </w:p>
        </w:tc>
        <w:tc>
          <w:tcPr>
            <w:tcW w:w="99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Year 0</w:t>
            </w:r>
          </w:p>
        </w:tc>
        <w:tc>
          <w:tcPr>
            <w:tcW w:w="90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Year 1</w:t>
            </w:r>
          </w:p>
        </w:tc>
        <w:tc>
          <w:tcPr>
            <w:tcW w:w="90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Year 2</w:t>
            </w:r>
          </w:p>
        </w:tc>
        <w:tc>
          <w:tcPr>
            <w:tcW w:w="99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Year 3</w:t>
            </w:r>
          </w:p>
        </w:tc>
        <w:tc>
          <w:tcPr>
            <w:tcW w:w="990"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Year 4</w:t>
            </w:r>
          </w:p>
        </w:tc>
      </w:tr>
      <w:tr w:rsidR="00AB0EB4" w:rsidRPr="00BA4141" w:rsidTr="00AB0EB4">
        <w:tc>
          <w:tcPr>
            <w:tcW w:w="2178" w:type="dxa"/>
          </w:tcPr>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Total costs</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90</w:t>
            </w:r>
          </w:p>
        </w:tc>
        <w:tc>
          <w:tcPr>
            <w:tcW w:w="90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20</w:t>
            </w:r>
          </w:p>
        </w:tc>
        <w:tc>
          <w:tcPr>
            <w:tcW w:w="90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20</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10</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10</w:t>
            </w:r>
          </w:p>
        </w:tc>
      </w:tr>
      <w:tr w:rsidR="00AB0EB4" w:rsidRPr="00BA4141" w:rsidTr="00AB0EB4">
        <w:tc>
          <w:tcPr>
            <w:tcW w:w="2178" w:type="dxa"/>
          </w:tcPr>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Total savings</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0</w:t>
            </w:r>
          </w:p>
        </w:tc>
        <w:tc>
          <w:tcPr>
            <w:tcW w:w="90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60</w:t>
            </w:r>
          </w:p>
        </w:tc>
        <w:tc>
          <w:tcPr>
            <w:tcW w:w="90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35</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40</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35</w:t>
            </w:r>
          </w:p>
        </w:tc>
      </w:tr>
      <w:tr w:rsidR="00AB0EB4" w:rsidRPr="00BA4141" w:rsidTr="00AB0EB4">
        <w:tc>
          <w:tcPr>
            <w:tcW w:w="2178" w:type="dxa"/>
          </w:tcPr>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Cumulative</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-90</w:t>
            </w:r>
          </w:p>
        </w:tc>
        <w:tc>
          <w:tcPr>
            <w:tcW w:w="90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-50</w:t>
            </w:r>
          </w:p>
        </w:tc>
        <w:tc>
          <w:tcPr>
            <w:tcW w:w="90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-35</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-5</w:t>
            </w:r>
          </w:p>
        </w:tc>
        <w:tc>
          <w:tcPr>
            <w:tcW w:w="990" w:type="dxa"/>
          </w:tcPr>
          <w:p w:rsidR="00AB0EB4" w:rsidRPr="00BA4141" w:rsidRDefault="00AB0EB4" w:rsidP="00AB0EB4">
            <w:pPr>
              <w:tabs>
                <w:tab w:val="left" w:pos="3645"/>
              </w:tabs>
              <w:jc w:val="center"/>
              <w:rPr>
                <w:rFonts w:ascii="Book Antiqua" w:hAnsi="Book Antiqua"/>
                <w:sz w:val="24"/>
                <w:szCs w:val="20"/>
              </w:rPr>
            </w:pPr>
            <w:r w:rsidRPr="00BA4141">
              <w:rPr>
                <w:rFonts w:ascii="Book Antiqua" w:hAnsi="Book Antiqua"/>
                <w:sz w:val="24"/>
                <w:szCs w:val="20"/>
              </w:rPr>
              <w:t>20</w:t>
            </w:r>
          </w:p>
        </w:tc>
      </w:tr>
    </w:tbl>
    <w:p w:rsidR="00AB0EB4" w:rsidRPr="00BA4141" w:rsidRDefault="00AB0EB4" w:rsidP="00AB0EB4">
      <w:pPr>
        <w:tabs>
          <w:tab w:val="left" w:pos="3645"/>
        </w:tabs>
        <w:ind w:left="720"/>
        <w:jc w:val="center"/>
        <w:rPr>
          <w:rFonts w:ascii="Book Antiqua" w:hAnsi="Book Antiqua"/>
          <w:b/>
          <w:sz w:val="24"/>
          <w:szCs w:val="20"/>
        </w:rPr>
      </w:pPr>
      <w:r w:rsidRPr="00BA4141">
        <w:rPr>
          <w:rFonts w:ascii="Book Antiqua" w:hAnsi="Book Antiqua"/>
          <w:b/>
          <w:sz w:val="24"/>
          <w:szCs w:val="20"/>
        </w:rPr>
        <w:t>Figure 1: Payback calculations for 8-Hats</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The calculations (Figure 1) show that Barry Blunt’s assertion is not true, both jobs payback early in year 4. If payback (time to payback) had been used, Job One would probably still have been selected because it pays back more in Year 4 than Job 2.</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Barry also seems to misunderstand the limitations of payback. It ignores all cash flows beyond the payback period, which in longer projects can be very significant. In this example, payback ignores the fact that Job 1 has a significantly higher net cash flow inflow on year 4 than Job 2.</w:t>
      </w:r>
    </w:p>
    <w:p w:rsidR="00AB0EB4" w:rsidRPr="00BA4141" w:rsidRDefault="00AB0EB4" w:rsidP="00AB0EB4">
      <w:pPr>
        <w:tabs>
          <w:tab w:val="left" w:pos="3645"/>
        </w:tabs>
        <w:ind w:left="720"/>
        <w:jc w:val="both"/>
        <w:rPr>
          <w:rFonts w:ascii="Book Antiqua" w:hAnsi="Book Antiqua"/>
          <w:b/>
          <w:sz w:val="24"/>
          <w:szCs w:val="20"/>
        </w:rPr>
      </w:pPr>
      <w:r w:rsidRPr="00BA4141">
        <w:rPr>
          <w:rFonts w:ascii="Book Antiqua" w:hAnsi="Book Antiqua"/>
          <w:b/>
          <w:sz w:val="24"/>
          <w:szCs w:val="20"/>
        </w:rPr>
        <w:t>The discount rate</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 xml:space="preserve">Inflation is taken into account in setting the discount rate. However, interest forgone, the cost of capital (if money is being borrowed to fund the investment) and risk will also have an influence. Interest forgone is concerned with the opportunity cost of investing the money in a bank deposit account and earning interest. The cost of capital is concerned with the cost of borrowing money to fund investment. A risk premium would reflect the perceived risk associated with these two internal projects. The discount rate used will incorporate an allowance for risk which will determine the required rate of return or ‘hurdle rate’ that a project must exceed for it to be viable. Information about risk-free interest rates during the period, the risk profile of the company and the </w:t>
      </w:r>
      <w:r w:rsidRPr="00BA4141">
        <w:rPr>
          <w:rFonts w:ascii="Book Antiqua" w:hAnsi="Book Antiqua"/>
          <w:sz w:val="24"/>
          <w:szCs w:val="20"/>
        </w:rPr>
        <w:lastRenderedPageBreak/>
        <w:t>company’s cost of capital (using the Capital Asset Pricing Model) would also have been of relevance.</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Even if there was an economic logic to changing the discount rate to 3% or 4% this would have no overall effect on the selection of the projects. In fact it is likely to have made Job 1 even more attractive than Job 2, as the cash flows in year 3 and 4 would have been discounted less. In fact, if a discount rate of 4% is used (and this calculation is not expected of the candidate) then the gap in NPV between Jobs 1 and 2 increases.</w:t>
      </w:r>
    </w:p>
    <w:p w:rsidR="00AB0EB4" w:rsidRPr="00BA4141" w:rsidRDefault="00AB0EB4" w:rsidP="00AB0EB4">
      <w:pPr>
        <w:tabs>
          <w:tab w:val="left" w:pos="3645"/>
        </w:tabs>
        <w:ind w:left="720"/>
        <w:jc w:val="both"/>
        <w:rPr>
          <w:rFonts w:ascii="Book Antiqua" w:hAnsi="Book Antiqua"/>
          <w:b/>
          <w:sz w:val="24"/>
          <w:szCs w:val="20"/>
        </w:rPr>
      </w:pPr>
      <w:r w:rsidRPr="00BA4141">
        <w:rPr>
          <w:rFonts w:ascii="Book Antiqua" w:hAnsi="Book Antiqua"/>
          <w:b/>
          <w:sz w:val="24"/>
          <w:szCs w:val="20"/>
        </w:rPr>
        <w:t>The Internal Rate of return (IRR)</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The IRR is basically the discount rate that produces an NPV of zero for net project cash flows. If the selection is between two projects with the same scale of investment (which is the case here), then it has no effect on which project is selected. The project with the greatest NPV will usually produce the higher IRR. However, the IRR does become important when any project selected has to achieve a pre-specified company rate, or where projects with different scales of investment are being compared. This is not the case at 8-Hats.</w:t>
      </w:r>
    </w:p>
    <w:p w:rsidR="00AB0EB4" w:rsidRPr="00BA4141" w:rsidRDefault="00AB0EB4" w:rsidP="00AB0EB4">
      <w:pPr>
        <w:tabs>
          <w:tab w:val="left" w:pos="3645"/>
        </w:tabs>
        <w:ind w:left="720"/>
        <w:jc w:val="both"/>
        <w:rPr>
          <w:rFonts w:ascii="Book Antiqua" w:hAnsi="Book Antiqua"/>
          <w:b/>
          <w:sz w:val="24"/>
          <w:szCs w:val="20"/>
        </w:rPr>
      </w:pPr>
      <w:r w:rsidRPr="00BA4141">
        <w:rPr>
          <w:rFonts w:ascii="Book Antiqua" w:hAnsi="Book Antiqua"/>
          <w:b/>
          <w:sz w:val="24"/>
          <w:szCs w:val="20"/>
        </w:rPr>
        <w:t>Tangible and intangible benefits</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The fundamental problem with investment appraisal generally is the reliability of cash flow estimates made for future cash inflows and outflows. For both jobs there seems to be an inclusion of specific monetary values for what appear to be intangible benefits – better information and improved staff morale. As Barry Blunt says, these are important, but it is very unlikely that either of these could be predicted with any certainty, particularly at the start of the project. Estimating for later time periods in the project is also very difficult and it is significant that these benefits increase as the project progresses. These intangible benefits amount to $110,000 for Job One and $50,000 for Job Two. If these intangible benefits are deducted from the analysis then, in fact, Job Two has a higher NPV than Job One. However, both are negative, suggesting that neither project should be attempted.</w:t>
      </w:r>
    </w:p>
    <w:p w:rsidR="00AB0EB4" w:rsidRPr="00BA4141" w:rsidRDefault="00AB0EB4" w:rsidP="00AB0EB4">
      <w:pPr>
        <w:tabs>
          <w:tab w:val="left" w:pos="3645"/>
        </w:tabs>
        <w:ind w:left="720"/>
        <w:jc w:val="both"/>
        <w:rPr>
          <w:rFonts w:ascii="Book Antiqua" w:hAnsi="Book Antiqua"/>
          <w:b/>
          <w:sz w:val="24"/>
          <w:szCs w:val="20"/>
        </w:rPr>
      </w:pPr>
      <w:r w:rsidRPr="00BA4141">
        <w:rPr>
          <w:rFonts w:ascii="Book Antiqua" w:hAnsi="Book Antiqua"/>
          <w:b/>
          <w:sz w:val="24"/>
          <w:szCs w:val="20"/>
        </w:rPr>
        <w:t>Benefits realisation</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Finally, Barry has a fundamental misunderstanding of benefits realisation. The feasibility study is concerned with establishing the business case of a project and it should identify the project’s benefits and costs. Benefits realisation is concerned with establishing whether the predicted benefits in the business case have been realised once the product or service delivered by the project has been in place for some time. It compares actual costs and benefits with those predicted in the business case. It cannot take place after the feasibility study of the project because at that point the project has not been completed and so any predicted benefits could not, at that stage, have been realised.</w:t>
      </w:r>
    </w:p>
    <w:p w:rsidR="00AB0EB4" w:rsidRPr="00BA4141" w:rsidRDefault="00AB0EB4" w:rsidP="00387FB1">
      <w:pPr>
        <w:pStyle w:val="ListParagraph"/>
        <w:widowControl/>
        <w:numPr>
          <w:ilvl w:val="0"/>
          <w:numId w:val="6"/>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 xml:space="preserve">8-Hats Promotions are currently structured in functional departments, with each function representing activities of the company that have either been acquired (for example travel) or organically developed. Each job is passed between functions, with each function focusing on optimising its part of the transaction. </w:t>
      </w:r>
      <w:r w:rsidRPr="00BA4141">
        <w:rPr>
          <w:rFonts w:ascii="Book Antiqua" w:hAnsi="Book Antiqua"/>
          <w:sz w:val="24"/>
          <w:szCs w:val="20"/>
        </w:rPr>
        <w:lastRenderedPageBreak/>
        <w:t>Thus the sales department concentrates on winning the job by fiercely reducing prices because the sales managers are rewarded on turnover, not profit. The events department focuses on providing the most rewarding client experience and the travel department on selling travel options with the best profit margin. The focus of the travel department can cause conflict with the sales and marketing department and the operations department has the problem of trying to profitably deliver an event at a price agreed by sales and marketing department but with the functionality promised by the events department. The finance department has responsibility for managing the cash flow of the job and the payment of invoices and collection of money owing. There have been occasions where a job has been jeopardised by the failure of the company to pay key suppliers on time.</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The problems described above are typical of a functional structure and the ‘silo effect’ caused by departments sub-optimising based on their own objectives and interests. The job, which is effectively being passed across the silos, suffers due to lack of co-ordination. Conflicts between two silos can often only be dealt with by managers who are above the silos. There is an example in the scenario where Barry Blunt has to intervene to arrange extra funding to pay supplier invoices when those suppliers threaten to boycott a folk music festival.</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The matrix structure is an attempt to manage key elements of the company across the functional departments. This might be a product, project or a clearly defined client sector. In the context of 8-Hats it is jobs, which are effectively projects, and potentially, key accounts (such as Kuizan) that need to be managed across the functional silos.</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Each job has the characteristics of a project. It has an established start, it runs for a few months, and then has a specified finish which is often the event itself (such as the folk festival or a Kuizan customer experience event). A multi-disciplinary project team drawn from all of the functional sections would allow continuity and focus on delivering a successful and profitable project. Because much of the company is project-based, a set of profitable projects should lead to a profitable company. Decisions within the project will, to some extent, reflect a consensus view of all concerned. The sales manager responsible for agreeing the deal would still be involved at event realisation and would also contribute to the management of cash flow through the complete project. This commitment to the project goal should lead to a more rewarding client experience. The need to keep clients satisfied is another potential element to the matrix, with account managers being appointed to key accounts with the responsibility of managing clients across both silos and projects.</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 xml:space="preserve">The need for project teams to reflect a consensus view often means that decisions may take longer in a matrix structure and tension within the multi-disciplinary team may lead to a large amount of conflict. This conflict is more likely when </w:t>
      </w:r>
      <w:r w:rsidRPr="00BA4141">
        <w:rPr>
          <w:rFonts w:ascii="Book Antiqua" w:hAnsi="Book Antiqua"/>
          <w:sz w:val="24"/>
          <w:szCs w:val="20"/>
        </w:rPr>
        <w:lastRenderedPageBreak/>
        <w:t>cost and profit responsibilities are either unclear or counter-productive. At 8-Hats, the practice of rewarding sales managers on a turnover basis will have to be reviewed, otherwise there will be significant tension between the line (function) and the project. It has also been claimed that job and task responsibilities are unclear in a matrix structure and so the company will have to address this. Johnson, Scholes and Whittington make the point that ‘one arm of the matrix has to lead in the sense that it dictates some key parameters within which the other arm must work’. In the context of the case study scenario it seems reasonable to devolve profit responsibility and work allocation to the project, leaving the functions to provide technical support and (perhaps) appraisal and competence definition responsibilities. The line manager becomes primarily responsible for the person and the project manager for the project. Such a change would require key cultural changes at 8-Hats.</w:t>
      </w:r>
    </w:p>
    <w:p w:rsidR="00AB0EB4" w:rsidRDefault="00AB0EB4" w:rsidP="00AB0EB4">
      <w:pPr>
        <w:spacing w:after="240"/>
        <w:ind w:right="-705" w:hanging="567"/>
        <w:contextualSpacing/>
        <w:rPr>
          <w:rFonts w:asciiTheme="majorBidi" w:hAnsiTheme="majorBidi" w:cstheme="majorBidi"/>
          <w:sz w:val="24"/>
          <w:szCs w:val="24"/>
        </w:rPr>
      </w:pPr>
    </w:p>
    <w:p w:rsidR="00AB0EB4" w:rsidRDefault="00AB0EB4" w:rsidP="00AB0EB4">
      <w:pPr>
        <w:spacing w:after="240"/>
        <w:ind w:right="-705" w:hanging="567"/>
        <w:contextualSpacing/>
        <w:rPr>
          <w:rFonts w:asciiTheme="majorBidi" w:hAnsiTheme="majorBidi" w:cstheme="majorBidi"/>
          <w:sz w:val="24"/>
          <w:szCs w:val="24"/>
        </w:rPr>
      </w:pPr>
    </w:p>
    <w:p w:rsidR="00AB0EB4" w:rsidRDefault="00AB0EB4" w:rsidP="00AB0EB4">
      <w:pPr>
        <w:spacing w:after="240"/>
        <w:ind w:right="-705" w:hanging="567"/>
        <w:contextualSpacing/>
        <w:rPr>
          <w:rFonts w:asciiTheme="majorBidi" w:hAnsiTheme="majorBidi" w:cstheme="majorBidi"/>
          <w:sz w:val="24"/>
          <w:szCs w:val="24"/>
        </w:rPr>
      </w:pP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Question</w:t>
      </w:r>
      <w:r>
        <w:rPr>
          <w:rFonts w:ascii="Book Antiqua" w:hAnsi="Book Antiqua"/>
          <w:b/>
          <w:sz w:val="24"/>
          <w:szCs w:val="20"/>
        </w:rPr>
        <w:t xml:space="preserve"> No </w:t>
      </w:r>
      <w:r w:rsidR="00670160">
        <w:rPr>
          <w:rFonts w:ascii="Book Antiqua" w:hAnsi="Book Antiqua"/>
          <w:b/>
          <w:sz w:val="24"/>
          <w:szCs w:val="20"/>
        </w:rPr>
        <w:t>3</w:t>
      </w:r>
      <w:r w:rsidRPr="00BA4141">
        <w:rPr>
          <w:rFonts w:ascii="Book Antiqua" w:hAnsi="Book Antiqua"/>
          <w:b/>
          <w:sz w:val="24"/>
          <w:szCs w:val="20"/>
        </w:rPr>
        <w:t>:-</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HomeDeliver is a nationwide company that sells small household goods to consumers. It produces an attractive, comprehensive catalogue which it distributes to staff known as catalogue supervisors. There are 150 of these supervisors in the country. Each supervisor has approximately 30 part-time home-based agents, who then deliver the catalogue to consumers in their homes. Agents subsequently collect the catalogue and any completed order forms and forward these forms to their supervisor. Payment is also taken when the order is collected. Payment is by cash or cheque and these payments are also forwarded to the supervisor by the agent. At the end of the week the supervisor returns completed order forms (and payments) to HomeDeliver. Order details are then entered into a computer system by order entry administrators at HomeDeliver and this starts an order fulfilment process that ends with goods being delivered directly to the customer. The supervisors and the agents are all self-employed. HomeDeliver rewards supervisors on the basis of how many agents they manage. Agents’ reward packages are based on how many catalogues they deliver and a commission based on orders received from the homes they have collected orders from.</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In August 2010 HomeDeliver decided to replace the physical ordering system with a new electronic ordering system. Agents would be provided with software which would allow them to enter customer orders directly into the computer system using their home personal computer at the end of each day. Payments would also be paid directly into a HomeDeliver bank account by agents at the end of each day.</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 xml:space="preserve">The software to support the new ordering system was developed in-house to requirements provided by the current order entry administrators at HomeDeliver and managers concerned with order fulfilment and invoicing. The software was tested internally by the order entry administrators. At first, both the specification of requirements and initial software testing progressed very slowly because order administrators were continuing with their normal operational duties. However, as project delays became more significant, selected order administrators were seconded to </w:t>
      </w:r>
      <w:r w:rsidRPr="00BA4141">
        <w:rPr>
          <w:rFonts w:ascii="Book Antiqua" w:hAnsi="Book Antiqua"/>
          <w:sz w:val="24"/>
          <w:szCs w:val="20"/>
        </w:rPr>
        <w:lastRenderedPageBreak/>
        <w:t>the project full-time. As a result the software was fully acceptance tested by the end of July 2011, two months behind schedule.</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In August 2011 the software was rolled out to all supervisors and agents. The software was claimed to be easy to use, so no formal training was given. A large comprehensive manual with colour screenshots was attached as a PDF to an email sent to all supervisors and agents. This gave detailed instructions on how to set up and use the software.</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Unfortunately, problems began to appear as soon as the agents tried to load and use the software. It was found to be incompatible with one particular popular browser, and agents whose computers used that browser were advised to use an alternative browser or computer. Agents also criticised the functionality of the software because it did not allow for the amendment of orders once they had been submitted. It emerged that customers often contacted agents and supervisors to amend their order prior to it being sent to HomeDeliver. This was no longer possible with the new system. Many agents also claimed that it was not possible to enter multiple orders for one household. However, HomeDeliver confirmed that entering multiple orders was possible; it was just not clear from the software, or from the instructions provided, how this could be achieved.</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Most of the agents were reluctant to print off the manual (preferring to read it on screen) and a significant number claimed that they did not receive the email with the manual attachment. Agents also found quite a number of spelling and functionality errors in the manual. At certain points the software did not perform in the way the manual stated that it would.</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Internal standards at HomeDeliver require both a post-project and a post-implementation review.</w:t>
      </w: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Required:</w:t>
      </w:r>
    </w:p>
    <w:p w:rsidR="00AB0EB4" w:rsidRPr="00BA4141" w:rsidRDefault="00AB0EB4" w:rsidP="00387FB1">
      <w:pPr>
        <w:pStyle w:val="ListParagraph"/>
        <w:widowControl/>
        <w:numPr>
          <w:ilvl w:val="0"/>
          <w:numId w:val="7"/>
        </w:numPr>
        <w:tabs>
          <w:tab w:val="left" w:pos="3645"/>
        </w:tabs>
        <w:spacing w:after="200" w:line="276" w:lineRule="auto"/>
        <w:contextualSpacing/>
        <w:jc w:val="both"/>
        <w:rPr>
          <w:rFonts w:ascii="Book Antiqua" w:hAnsi="Book Antiqua"/>
          <w:b/>
          <w:sz w:val="24"/>
          <w:szCs w:val="20"/>
        </w:rPr>
      </w:pPr>
      <w:r w:rsidRPr="00BA4141">
        <w:rPr>
          <w:rFonts w:ascii="Book Antiqua" w:hAnsi="Book Antiqua"/>
          <w:b/>
          <w:sz w:val="24"/>
          <w:szCs w:val="20"/>
        </w:rPr>
        <w:t xml:space="preserve">Explain the purpose of each of the following: a post-project review, a post-implementation review and abenefits realisation review. </w:t>
      </w:r>
    </w:p>
    <w:p w:rsidR="00AB0EB4" w:rsidRPr="00BA4141" w:rsidRDefault="00AB0EB4" w:rsidP="00387FB1">
      <w:pPr>
        <w:pStyle w:val="ListParagraph"/>
        <w:widowControl/>
        <w:numPr>
          <w:ilvl w:val="0"/>
          <w:numId w:val="7"/>
        </w:numPr>
        <w:tabs>
          <w:tab w:val="left" w:pos="3645"/>
        </w:tabs>
        <w:spacing w:after="200" w:line="276" w:lineRule="auto"/>
        <w:contextualSpacing/>
        <w:jc w:val="both"/>
        <w:rPr>
          <w:rFonts w:ascii="Book Antiqua" w:hAnsi="Book Antiqua"/>
          <w:b/>
          <w:sz w:val="24"/>
          <w:szCs w:val="20"/>
        </w:rPr>
      </w:pPr>
      <w:r w:rsidRPr="00BA4141">
        <w:rPr>
          <w:rFonts w:ascii="Book Antiqua" w:hAnsi="Book Antiqua"/>
          <w:b/>
          <w:sz w:val="24"/>
          <w:szCs w:val="20"/>
        </w:rPr>
        <w:t xml:space="preserve">Evaluate the problems and the lessons that should be learned from a post-project review and apost-implementation review of the electronic ordering system at HomeDeliver. </w:t>
      </w:r>
    </w:p>
    <w:p w:rsidR="00AB0EB4" w:rsidRPr="00BA4141" w:rsidRDefault="00AB0EB4" w:rsidP="00387FB1">
      <w:pPr>
        <w:pStyle w:val="ListParagraph"/>
        <w:widowControl/>
        <w:numPr>
          <w:ilvl w:val="0"/>
          <w:numId w:val="7"/>
        </w:numPr>
        <w:tabs>
          <w:tab w:val="left" w:pos="3645"/>
        </w:tabs>
        <w:spacing w:after="200" w:line="276" w:lineRule="auto"/>
        <w:contextualSpacing/>
        <w:jc w:val="both"/>
        <w:rPr>
          <w:rFonts w:ascii="Book Antiqua" w:hAnsi="Book Antiqua"/>
          <w:b/>
          <w:sz w:val="24"/>
          <w:szCs w:val="20"/>
        </w:rPr>
      </w:pPr>
      <w:r w:rsidRPr="00BA4141">
        <w:rPr>
          <w:rFonts w:ascii="Book Antiqua" w:hAnsi="Book Antiqua"/>
          <w:b/>
          <w:sz w:val="24"/>
          <w:szCs w:val="20"/>
        </w:rPr>
        <w:t>HomeDeliver does not have a benefits management process and so a benefits realisation review is inappropriate.However, it does feel that it would be useful to retrospectively define the benefits to HomeDeliver of the newelectronic ordering system.</w:t>
      </w:r>
    </w:p>
    <w:p w:rsidR="00AB0EB4" w:rsidRPr="00BA4141" w:rsidRDefault="00AB0EB4" w:rsidP="00AB0EB4">
      <w:pPr>
        <w:tabs>
          <w:tab w:val="left" w:pos="3645"/>
        </w:tabs>
        <w:ind w:left="720"/>
        <w:jc w:val="both"/>
        <w:rPr>
          <w:rFonts w:ascii="Book Antiqua" w:hAnsi="Book Antiqua"/>
          <w:b/>
          <w:sz w:val="24"/>
          <w:szCs w:val="20"/>
        </w:rPr>
      </w:pPr>
      <w:r w:rsidRPr="00BA4141">
        <w:rPr>
          <w:rFonts w:ascii="Book Antiqua" w:hAnsi="Book Antiqua"/>
          <w:b/>
          <w:sz w:val="24"/>
          <w:szCs w:val="20"/>
        </w:rPr>
        <w:t>Identify and discuss the potential benefits to HomeDeliver of the new electronic ordering system.</w:t>
      </w: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Answer:-</w:t>
      </w:r>
    </w:p>
    <w:p w:rsidR="00AB0EB4" w:rsidRPr="00BA4141" w:rsidRDefault="00AB0EB4" w:rsidP="00387FB1">
      <w:pPr>
        <w:pStyle w:val="ListParagraph"/>
        <w:widowControl/>
        <w:numPr>
          <w:ilvl w:val="0"/>
          <w:numId w:val="8"/>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 xml:space="preserve">A post-project review takes place once the project has been completed. In fact, it can often be the last stage of the project, with the review culminating in the sign-off of the project and the formal dissolution of the project team. The focus of the post-project review is on the conduct of the project itself, not the product it has </w:t>
      </w:r>
      <w:r w:rsidRPr="00BA4141">
        <w:rPr>
          <w:rFonts w:ascii="Book Antiqua" w:hAnsi="Book Antiqua"/>
          <w:sz w:val="24"/>
          <w:szCs w:val="20"/>
        </w:rPr>
        <w:lastRenderedPageBreak/>
        <w:t>delivered. The aim is to identify and understand what went well and what went badly in the project and to feed lessons learned back into the project management standards with the aim of improving subsequent project management in the organisation.</w:t>
      </w:r>
    </w:p>
    <w:p w:rsidR="00AB0EB4" w:rsidRPr="00BA4141" w:rsidRDefault="00AB0EB4" w:rsidP="00AB0EB4">
      <w:pPr>
        <w:pStyle w:val="ListParagraph"/>
        <w:tabs>
          <w:tab w:val="left" w:pos="3645"/>
        </w:tabs>
        <w:jc w:val="both"/>
        <w:rPr>
          <w:rFonts w:ascii="Book Antiqua" w:hAnsi="Book Antiqua"/>
          <w:sz w:val="24"/>
          <w:szCs w:val="20"/>
        </w:rPr>
      </w:pP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A post-implementation review focuses on the product delivered by the project. It usually takes place a specified time after the product has been delivered. This allows the actual users of the product an opportunity to use and experience the product or service and to feedback their observations into a formal review. The post-implementation review will focus on the product’s fitness for purpose. The review will not only discuss strategies for fixing or addressing identified faults, but it will also make recommendations on how to avoid these faults in the future. In this instance these lessons learned are fed back into the product production process.</w:t>
      </w:r>
    </w:p>
    <w:p w:rsidR="00AB0EB4" w:rsidRPr="00BA4141" w:rsidRDefault="00AB0EB4" w:rsidP="00AB0EB4">
      <w:pPr>
        <w:pStyle w:val="ListParagraph"/>
        <w:tabs>
          <w:tab w:val="left" w:pos="3645"/>
        </w:tabs>
        <w:jc w:val="both"/>
        <w:rPr>
          <w:rFonts w:ascii="Book Antiqua" w:hAnsi="Book Antiqua"/>
          <w:sz w:val="24"/>
          <w:szCs w:val="20"/>
        </w:rPr>
      </w:pP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A benefits realisation review also takes place after the product has been delivered. It is primarily concerned with revisiting the business case to see if the costs predicted at the initiation of the project were accurate and that the predicted benefits have actually accrued. In effect, it is a review of the initial cost/benefit analysis and any subsequent updates made to this analysis during the conduct of the project. It may be part of a post-implementation review, although the long-term nature of most benefits means that the post-implementation review is often held too soon to properly conduct benefits realisation. In fact, it can be argued that benefits realisation is actually a series of reviews where the predicted long-term costs and benefits of the business case are monitored. Again, one of the objectives is to identify lessons learned and in this case to feed these back into the benefits management process of the organisation.</w:t>
      </w:r>
    </w:p>
    <w:p w:rsidR="00AB0EB4" w:rsidRPr="00BA4141" w:rsidRDefault="00AB0EB4" w:rsidP="00387FB1">
      <w:pPr>
        <w:pStyle w:val="ListParagraph"/>
        <w:widowControl/>
        <w:numPr>
          <w:ilvl w:val="0"/>
          <w:numId w:val="8"/>
        </w:numPr>
        <w:tabs>
          <w:tab w:val="left" w:pos="3645"/>
        </w:tabs>
        <w:spacing w:after="200" w:line="276" w:lineRule="auto"/>
        <w:contextualSpacing/>
        <w:jc w:val="both"/>
        <w:rPr>
          <w:rFonts w:ascii="Book Antiqua" w:hAnsi="Book Antiqua"/>
          <w:b/>
          <w:sz w:val="24"/>
          <w:szCs w:val="20"/>
        </w:rPr>
      </w:pPr>
      <w:r w:rsidRPr="00BA4141">
        <w:rPr>
          <w:rFonts w:ascii="Book Antiqua" w:hAnsi="Book Antiqua"/>
          <w:b/>
          <w:sz w:val="24"/>
          <w:szCs w:val="20"/>
        </w:rPr>
        <w:t>Post-project review at HomeDeliver</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The following issues could have been raised at the HomeDeliver post-project review. They are presented here with lessons learned that should be fed back into the project management process.</w:t>
      </w:r>
    </w:p>
    <w:p w:rsidR="00AB0EB4" w:rsidRPr="00BA4141" w:rsidRDefault="00AB0EB4" w:rsidP="00387FB1">
      <w:pPr>
        <w:pStyle w:val="ListParagraph"/>
        <w:widowControl/>
        <w:numPr>
          <w:ilvl w:val="0"/>
          <w:numId w:val="9"/>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The late allocation of HomeDeliver order administrators full-time to the project. Initially, employees were allocated part-time to the project. However this hampered project progress as these administrators also needed to undertake their normal operational duties. Consequently, the project began to significantly slip. Even though selected order administrators were added full-time to the project it was too late and the software was delivered two months behind schedule.</w:t>
      </w:r>
    </w:p>
    <w:p w:rsidR="00AB0EB4" w:rsidRPr="00BA4141" w:rsidRDefault="00AB0EB4" w:rsidP="00AB0EB4">
      <w:pPr>
        <w:pStyle w:val="ListParagraph"/>
        <w:tabs>
          <w:tab w:val="left" w:pos="3645"/>
        </w:tabs>
        <w:ind w:left="1440"/>
        <w:jc w:val="both"/>
        <w:rPr>
          <w:rFonts w:ascii="Book Antiqua" w:hAnsi="Book Antiqua"/>
          <w:sz w:val="24"/>
          <w:szCs w:val="20"/>
        </w:rPr>
      </w:pPr>
      <w:r w:rsidRPr="00BA4141">
        <w:rPr>
          <w:rFonts w:ascii="Book Antiqua" w:hAnsi="Book Antiqua"/>
          <w:i/>
          <w:sz w:val="24"/>
          <w:szCs w:val="20"/>
        </w:rPr>
        <w:t>Lessons learned</w:t>
      </w:r>
      <w:r w:rsidRPr="00BA4141">
        <w:rPr>
          <w:rFonts w:ascii="Book Antiqua" w:hAnsi="Book Antiqua"/>
          <w:sz w:val="24"/>
          <w:szCs w:val="20"/>
        </w:rPr>
        <w:t>: it is likely that deadlines will slip if appropriate employees are not allocated full-time to the project.</w:t>
      </w:r>
    </w:p>
    <w:p w:rsidR="00AB0EB4" w:rsidRPr="00BA4141" w:rsidRDefault="00AB0EB4" w:rsidP="00387FB1">
      <w:pPr>
        <w:pStyle w:val="ListParagraph"/>
        <w:widowControl/>
        <w:numPr>
          <w:ilvl w:val="0"/>
          <w:numId w:val="9"/>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The failure to consult catalogue supervisors and agents.</w:t>
      </w:r>
    </w:p>
    <w:p w:rsidR="00AB0EB4" w:rsidRPr="00BA4141" w:rsidRDefault="00AB0EB4" w:rsidP="00AB0EB4">
      <w:pPr>
        <w:pStyle w:val="ListParagraph"/>
        <w:tabs>
          <w:tab w:val="left" w:pos="3645"/>
        </w:tabs>
        <w:ind w:left="1440"/>
        <w:jc w:val="both"/>
        <w:rPr>
          <w:rFonts w:ascii="Book Antiqua" w:hAnsi="Book Antiqua"/>
          <w:sz w:val="24"/>
          <w:szCs w:val="20"/>
        </w:rPr>
      </w:pPr>
      <w:r w:rsidRPr="00BA4141">
        <w:rPr>
          <w:rFonts w:ascii="Book Antiqua" w:hAnsi="Book Antiqua"/>
          <w:sz w:val="24"/>
          <w:szCs w:val="20"/>
        </w:rPr>
        <w:t xml:space="preserve">There is evidence in the scenario that internal stakeholders were identified and consulted throughout the project. However, external stakeholders, such as the catalogue supervisors and agents, were not consulted at all. </w:t>
      </w:r>
      <w:r w:rsidRPr="00BA4141">
        <w:rPr>
          <w:rFonts w:ascii="Book Antiqua" w:hAnsi="Book Antiqua"/>
          <w:sz w:val="24"/>
          <w:szCs w:val="20"/>
        </w:rPr>
        <w:lastRenderedPageBreak/>
        <w:t>This meant that they had little understanding of the software prior to its implementation. It also meant that their requirements were not taken into consideration when developing the software. Hence the need to amend an order was not included in the software solution.</w:t>
      </w:r>
    </w:p>
    <w:p w:rsidR="00AB0EB4" w:rsidRPr="00BA4141" w:rsidRDefault="00AB0EB4" w:rsidP="00AB0EB4">
      <w:pPr>
        <w:pStyle w:val="ListParagraph"/>
        <w:tabs>
          <w:tab w:val="left" w:pos="3645"/>
        </w:tabs>
        <w:ind w:left="1440"/>
        <w:jc w:val="both"/>
        <w:rPr>
          <w:rFonts w:ascii="Book Antiqua" w:hAnsi="Book Antiqua"/>
          <w:sz w:val="24"/>
          <w:szCs w:val="20"/>
        </w:rPr>
      </w:pPr>
      <w:r w:rsidRPr="00BA4141">
        <w:rPr>
          <w:rFonts w:ascii="Book Antiqua" w:hAnsi="Book Antiqua"/>
          <w:i/>
          <w:sz w:val="24"/>
          <w:szCs w:val="20"/>
        </w:rPr>
        <w:t>Lessons learned:</w:t>
      </w:r>
      <w:r w:rsidRPr="00BA4141">
        <w:rPr>
          <w:rFonts w:ascii="Book Antiqua" w:hAnsi="Book Antiqua"/>
          <w:sz w:val="24"/>
          <w:szCs w:val="20"/>
        </w:rPr>
        <w:t xml:space="preserve"> ensure that stakeholder analysis includes both external and internal stakeholders and make sure that external stakeholders are included in the requirements gathering process where appropriate.</w:t>
      </w:r>
    </w:p>
    <w:p w:rsidR="00AB0EB4" w:rsidRPr="00BA4141" w:rsidRDefault="00AB0EB4" w:rsidP="00387FB1">
      <w:pPr>
        <w:pStyle w:val="ListParagraph"/>
        <w:widowControl/>
        <w:numPr>
          <w:ilvl w:val="0"/>
          <w:numId w:val="9"/>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The scope of implementation, implementing all supervisors and agents immediately. In retrospect, implementing all supervisors (and their agents) was too ambitious and risky. It would have been wiser to establish a pilot project where only selected supervisors and agents used the new system. Experience from this pilot could have been used to modify the software and fix faults and omissions before rolling out to the rest of the organisation. The scope should have been defined in the project initiation document and this should have been risk assessed.</w:t>
      </w:r>
    </w:p>
    <w:p w:rsidR="00AB0EB4" w:rsidRPr="00BA4141" w:rsidRDefault="00AB0EB4" w:rsidP="00AB0EB4">
      <w:pPr>
        <w:pStyle w:val="ListParagraph"/>
        <w:tabs>
          <w:tab w:val="left" w:pos="3645"/>
        </w:tabs>
        <w:ind w:left="1440"/>
        <w:jc w:val="both"/>
        <w:rPr>
          <w:rFonts w:ascii="Book Antiqua" w:hAnsi="Book Antiqua"/>
          <w:sz w:val="24"/>
          <w:szCs w:val="20"/>
        </w:rPr>
      </w:pPr>
      <w:r w:rsidRPr="00BA4141">
        <w:rPr>
          <w:rFonts w:ascii="Book Antiqua" w:hAnsi="Book Antiqua"/>
          <w:i/>
          <w:sz w:val="24"/>
          <w:szCs w:val="20"/>
        </w:rPr>
        <w:t>Lessons learned:</w:t>
      </w:r>
      <w:r w:rsidRPr="00BA4141">
        <w:rPr>
          <w:rFonts w:ascii="Book Antiqua" w:hAnsi="Book Antiqua"/>
          <w:sz w:val="24"/>
          <w:szCs w:val="20"/>
        </w:rPr>
        <w:t xml:space="preserve"> the risk assessment of the scope of projects is important and project managers should look to mitigate risk by reducing scope.</w:t>
      </w:r>
    </w:p>
    <w:p w:rsidR="00AB0EB4" w:rsidRPr="00BA4141" w:rsidRDefault="00AB0EB4" w:rsidP="00AB0EB4">
      <w:pPr>
        <w:pStyle w:val="ListParagraph"/>
        <w:tabs>
          <w:tab w:val="left" w:pos="3645"/>
        </w:tabs>
        <w:jc w:val="both"/>
        <w:rPr>
          <w:rFonts w:ascii="Book Antiqua" w:hAnsi="Book Antiqua"/>
          <w:b/>
          <w:sz w:val="24"/>
          <w:szCs w:val="20"/>
        </w:rPr>
      </w:pPr>
    </w:p>
    <w:p w:rsidR="00AB0EB4" w:rsidRPr="00BA4141" w:rsidRDefault="00AB0EB4" w:rsidP="00AB0EB4">
      <w:pPr>
        <w:pStyle w:val="ListParagraph"/>
        <w:tabs>
          <w:tab w:val="left" w:pos="3645"/>
        </w:tabs>
        <w:jc w:val="both"/>
        <w:rPr>
          <w:rFonts w:ascii="Book Antiqua" w:hAnsi="Book Antiqua"/>
          <w:b/>
          <w:sz w:val="24"/>
          <w:szCs w:val="20"/>
        </w:rPr>
      </w:pPr>
      <w:r w:rsidRPr="00BA4141">
        <w:rPr>
          <w:rFonts w:ascii="Book Antiqua" w:hAnsi="Book Antiqua"/>
          <w:b/>
          <w:sz w:val="24"/>
          <w:szCs w:val="20"/>
        </w:rPr>
        <w:t>Post implementation review at HomeDeliver</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The following issues could have been raised at the HomeDeliver post-implementation review. They are presented here with recommendations that should be fed back into the software development process.</w:t>
      </w:r>
    </w:p>
    <w:p w:rsidR="00AB0EB4" w:rsidRPr="00BA4141" w:rsidRDefault="00AB0EB4" w:rsidP="00387FB1">
      <w:pPr>
        <w:pStyle w:val="ListParagraph"/>
        <w:widowControl/>
        <w:numPr>
          <w:ilvl w:val="0"/>
          <w:numId w:val="9"/>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Faults and omissions in the computer software. The omission of the order amendment facility has already been considered. However, the failure of the software to work with a popular browser needs investigating. Testing should consider a range of browsers. The post-implementation review should also consider why these faults were not found before the software was released. A possible reason is that the software was tested by full-time employees of HomeDeliver in a controlled office environment. It was not acceptance tested by the part-time, home-based agents who were actually going to use the software. These people were likely to be less familiar with computer applications and were also likely to use a wide variety of hardware and software.</w:t>
      </w:r>
    </w:p>
    <w:p w:rsidR="00AB0EB4" w:rsidRPr="00BA4141" w:rsidRDefault="00AB0EB4" w:rsidP="00AB0EB4">
      <w:pPr>
        <w:pStyle w:val="ListParagraph"/>
        <w:tabs>
          <w:tab w:val="left" w:pos="3645"/>
        </w:tabs>
        <w:ind w:left="1440"/>
        <w:jc w:val="both"/>
        <w:rPr>
          <w:rFonts w:ascii="Book Antiqua" w:hAnsi="Book Antiqua"/>
          <w:sz w:val="24"/>
          <w:szCs w:val="20"/>
        </w:rPr>
      </w:pPr>
    </w:p>
    <w:p w:rsidR="00AB0EB4" w:rsidRPr="00BA4141" w:rsidRDefault="00AB0EB4" w:rsidP="00AB0EB4">
      <w:pPr>
        <w:pStyle w:val="ListParagraph"/>
        <w:tabs>
          <w:tab w:val="left" w:pos="3645"/>
        </w:tabs>
        <w:ind w:left="1440"/>
        <w:jc w:val="both"/>
        <w:rPr>
          <w:rFonts w:ascii="Book Antiqua" w:hAnsi="Book Antiqua"/>
          <w:sz w:val="24"/>
          <w:szCs w:val="20"/>
        </w:rPr>
      </w:pPr>
      <w:r w:rsidRPr="00BA4141">
        <w:rPr>
          <w:rFonts w:ascii="Book Antiqua" w:hAnsi="Book Antiqua"/>
          <w:i/>
          <w:sz w:val="24"/>
          <w:szCs w:val="20"/>
        </w:rPr>
        <w:t>Lessons learned:</w:t>
      </w:r>
      <w:r w:rsidRPr="00BA4141">
        <w:rPr>
          <w:rFonts w:ascii="Book Antiqua" w:hAnsi="Book Antiqua"/>
          <w:sz w:val="24"/>
          <w:szCs w:val="20"/>
        </w:rPr>
        <w:t xml:space="preserve"> acceptance testing should be undertaken by real business users in the hardware and softwareenvironment they are actually working in. Testing across multiple browsers must be considered.</w:t>
      </w:r>
    </w:p>
    <w:p w:rsidR="00AB0EB4" w:rsidRPr="00BA4141" w:rsidRDefault="00AB0EB4" w:rsidP="00387FB1">
      <w:pPr>
        <w:pStyle w:val="ListParagraph"/>
        <w:widowControl/>
        <w:numPr>
          <w:ilvl w:val="0"/>
          <w:numId w:val="9"/>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 xml:space="preserve">Faults in the documentation. The documentation supporting the implementation was both inappropriate andinappropriately distributed. Distributing the user manual as a PDF file raises at least two issues. </w:t>
      </w:r>
      <w:r w:rsidRPr="00BA4141">
        <w:rPr>
          <w:rFonts w:ascii="Book Antiqua" w:hAnsi="Book Antiqua"/>
          <w:sz w:val="24"/>
          <w:szCs w:val="20"/>
        </w:rPr>
        <w:lastRenderedPageBreak/>
        <w:t>Firstly, whether theemail, and its attached file, had actually been received by the agent. A significant number of them claim that they didnot receive the email. Secondly, it seems unreasonable to expect self-employed agents to print out a large, colour manualat their own cost. A failure to print out and study the manual probably contributed to agents being unable to use thesoftware to enter multiple orders for one household. Spelling and functionality faults in the manual undermineconfidence in both the documentation and the software it supports.</w:t>
      </w:r>
    </w:p>
    <w:p w:rsidR="00AB0EB4" w:rsidRPr="00BA4141" w:rsidRDefault="00AB0EB4" w:rsidP="00AB0EB4">
      <w:pPr>
        <w:pStyle w:val="ListParagraph"/>
        <w:tabs>
          <w:tab w:val="left" w:pos="3645"/>
        </w:tabs>
        <w:ind w:left="1440"/>
        <w:jc w:val="both"/>
        <w:rPr>
          <w:rFonts w:ascii="Book Antiqua" w:hAnsi="Book Antiqua"/>
          <w:sz w:val="24"/>
          <w:szCs w:val="20"/>
        </w:rPr>
      </w:pPr>
    </w:p>
    <w:p w:rsidR="00AB0EB4" w:rsidRPr="00BA4141" w:rsidRDefault="00AB0EB4" w:rsidP="00AB0EB4">
      <w:pPr>
        <w:pStyle w:val="ListParagraph"/>
        <w:tabs>
          <w:tab w:val="left" w:pos="3645"/>
        </w:tabs>
        <w:ind w:left="1440"/>
        <w:jc w:val="both"/>
        <w:rPr>
          <w:rFonts w:ascii="Book Antiqua" w:hAnsi="Book Antiqua"/>
          <w:sz w:val="24"/>
          <w:szCs w:val="20"/>
        </w:rPr>
      </w:pPr>
      <w:r w:rsidRPr="00BA4141">
        <w:rPr>
          <w:rFonts w:ascii="Book Antiqua" w:hAnsi="Book Antiqua"/>
          <w:i/>
          <w:sz w:val="24"/>
          <w:szCs w:val="20"/>
        </w:rPr>
        <w:t>Lessons learned:</w:t>
      </w:r>
      <w:r w:rsidRPr="00BA4141">
        <w:rPr>
          <w:rFonts w:ascii="Book Antiqua" w:hAnsi="Book Antiqua"/>
          <w:sz w:val="24"/>
          <w:szCs w:val="20"/>
        </w:rPr>
        <w:t xml:space="preserve"> documentation must be carefully inspected before software release and its physical distribution shouldbe carefully considered. Distributing documentation electronically may seem easy and cheap, but it may have importantunanticipated consequences.</w:t>
      </w:r>
    </w:p>
    <w:p w:rsidR="00AB0EB4" w:rsidRPr="00BA4141" w:rsidRDefault="00AB0EB4" w:rsidP="00387FB1">
      <w:pPr>
        <w:pStyle w:val="ListParagraph"/>
        <w:widowControl/>
        <w:numPr>
          <w:ilvl w:val="0"/>
          <w:numId w:val="9"/>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Training of employees. It was perceived that the software was easy to use and so no formal training was given to agents.However, this missed the opportunity to find early faults (for example, not running under a certain browser). The inabilityof many agents to claim that the system could not support multiple orders from one household also suggests that thesoftware was not as easy to use as its developers claimed.</w:t>
      </w:r>
    </w:p>
    <w:p w:rsidR="00AB0EB4" w:rsidRPr="00BA4141" w:rsidRDefault="00AB0EB4" w:rsidP="00AB0EB4">
      <w:pPr>
        <w:pStyle w:val="ListParagraph"/>
        <w:tabs>
          <w:tab w:val="left" w:pos="3645"/>
        </w:tabs>
        <w:ind w:left="1440"/>
        <w:jc w:val="both"/>
        <w:rPr>
          <w:rFonts w:ascii="Book Antiqua" w:hAnsi="Book Antiqua"/>
          <w:sz w:val="24"/>
          <w:szCs w:val="20"/>
        </w:rPr>
      </w:pPr>
    </w:p>
    <w:p w:rsidR="00AB0EB4" w:rsidRPr="00BA4141" w:rsidRDefault="00AB0EB4" w:rsidP="00AB0EB4">
      <w:pPr>
        <w:pStyle w:val="ListParagraph"/>
        <w:tabs>
          <w:tab w:val="left" w:pos="3645"/>
        </w:tabs>
        <w:ind w:left="1440"/>
        <w:jc w:val="both"/>
        <w:rPr>
          <w:rFonts w:ascii="Book Antiqua" w:hAnsi="Book Antiqua"/>
          <w:sz w:val="24"/>
          <w:szCs w:val="20"/>
        </w:rPr>
      </w:pPr>
      <w:r w:rsidRPr="00BA4141">
        <w:rPr>
          <w:rFonts w:ascii="Book Antiqua" w:hAnsi="Book Antiqua"/>
          <w:i/>
          <w:sz w:val="24"/>
          <w:szCs w:val="20"/>
        </w:rPr>
        <w:t>Lessons learned:</w:t>
      </w:r>
      <w:r w:rsidRPr="00BA4141">
        <w:rPr>
          <w:rFonts w:ascii="Book Antiqua" w:hAnsi="Book Antiqua"/>
          <w:sz w:val="24"/>
          <w:szCs w:val="20"/>
        </w:rPr>
        <w:t xml:space="preserve"> As well as imparting skills, training provides an opportunity to build rapport with users and to identifypossible issues and faults with the software at an earlier stage.</w:t>
      </w:r>
    </w:p>
    <w:p w:rsidR="00AB0EB4" w:rsidRPr="00BA4141" w:rsidRDefault="00AB0EB4" w:rsidP="00AB0EB4">
      <w:pPr>
        <w:pStyle w:val="ListParagraph"/>
        <w:tabs>
          <w:tab w:val="left" w:pos="3645"/>
        </w:tabs>
        <w:ind w:left="1440"/>
        <w:jc w:val="both"/>
        <w:rPr>
          <w:rFonts w:ascii="Book Antiqua" w:hAnsi="Book Antiqua"/>
          <w:sz w:val="24"/>
          <w:szCs w:val="20"/>
        </w:rPr>
      </w:pPr>
    </w:p>
    <w:p w:rsidR="00AB0EB4" w:rsidRPr="00BA4141" w:rsidRDefault="00AB0EB4" w:rsidP="00387FB1">
      <w:pPr>
        <w:pStyle w:val="ListParagraph"/>
        <w:widowControl/>
        <w:numPr>
          <w:ilvl w:val="0"/>
          <w:numId w:val="8"/>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The potential benefits to HomeDeliver of the new electronic ordering system might include:</w:t>
      </w:r>
    </w:p>
    <w:p w:rsidR="00AB0EB4" w:rsidRPr="00BA4141" w:rsidRDefault="00AB0EB4" w:rsidP="00387FB1">
      <w:pPr>
        <w:pStyle w:val="ListParagraph"/>
        <w:widowControl/>
        <w:numPr>
          <w:ilvl w:val="0"/>
          <w:numId w:val="9"/>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Staff savings from the reduction or elimination of order administrators at HomeDeliver. This benefit should be relativelyeasy to quantify.</w:t>
      </w:r>
    </w:p>
    <w:p w:rsidR="00AB0EB4" w:rsidRPr="00BA4141" w:rsidRDefault="00AB0EB4" w:rsidP="00387FB1">
      <w:pPr>
        <w:pStyle w:val="ListParagraph"/>
        <w:widowControl/>
        <w:numPr>
          <w:ilvl w:val="0"/>
          <w:numId w:val="9"/>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Staff savings from reduced catalogue supervisor costs. In the new system, supervisors appear to have significantly lesswork and so each supervisor should be able to co-ordinate more agents. However, supervisors are currently rewardedon the basis of how many agents they administer. So savings could only be made if this contractual arrangement waschanged.</w:t>
      </w:r>
    </w:p>
    <w:p w:rsidR="00AB0EB4" w:rsidRPr="00BA4141" w:rsidRDefault="00AB0EB4" w:rsidP="00387FB1">
      <w:pPr>
        <w:pStyle w:val="ListParagraph"/>
        <w:widowControl/>
        <w:numPr>
          <w:ilvl w:val="0"/>
          <w:numId w:val="9"/>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Improved cash flow, because money is now sent daily rather than at the end of the week. Improved cash flow will reduceborrowing costs or increase investment income. This benefit should be relatively easy to quantify.</w:t>
      </w:r>
    </w:p>
    <w:p w:rsidR="00AB0EB4" w:rsidRPr="00BA4141" w:rsidRDefault="00AB0EB4" w:rsidP="00387FB1">
      <w:pPr>
        <w:pStyle w:val="ListParagraph"/>
        <w:widowControl/>
        <w:numPr>
          <w:ilvl w:val="0"/>
          <w:numId w:val="9"/>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 xml:space="preserve">The system should lead to the customer receiving their goods more quickly. Orders are entered at the end of the day,not in the week after the </w:t>
      </w:r>
      <w:r w:rsidRPr="00BA4141">
        <w:rPr>
          <w:rFonts w:ascii="Book Antiqua" w:hAnsi="Book Antiqua"/>
          <w:sz w:val="24"/>
          <w:szCs w:val="20"/>
        </w:rPr>
        <w:lastRenderedPageBreak/>
        <w:t>order has been placed. This is a benefit for the customer, not HomeDeliver. However, it couldbe argued that improved customer service may lead to more customers and, because there is less elapsed time betweenorder and delivery, to fewer cancelled orders. It would be relatively difficult to quantitatively predict both of these benefitsin advance.</w:t>
      </w: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Question</w:t>
      </w:r>
      <w:r>
        <w:rPr>
          <w:rFonts w:ascii="Book Antiqua" w:hAnsi="Book Antiqua"/>
          <w:b/>
          <w:sz w:val="24"/>
          <w:szCs w:val="20"/>
        </w:rPr>
        <w:t xml:space="preserve"> No </w:t>
      </w:r>
      <w:r w:rsidR="00670160">
        <w:rPr>
          <w:rFonts w:ascii="Book Antiqua" w:hAnsi="Book Antiqua"/>
          <w:b/>
          <w:sz w:val="24"/>
          <w:szCs w:val="20"/>
        </w:rPr>
        <w:t>4</w:t>
      </w:r>
      <w:r w:rsidRPr="00BA4141">
        <w:rPr>
          <w:rFonts w:ascii="Book Antiqua" w:hAnsi="Book Antiqua"/>
          <w:b/>
          <w:sz w:val="24"/>
          <w:szCs w:val="20"/>
        </w:rPr>
        <w:t>:-</w:t>
      </w:r>
    </w:p>
    <w:p w:rsidR="00AB0EB4" w:rsidRPr="00BA4141" w:rsidRDefault="00AB0EB4" w:rsidP="00AB0EB4">
      <w:pPr>
        <w:tabs>
          <w:tab w:val="left" w:pos="3645"/>
        </w:tabs>
        <w:jc w:val="both"/>
        <w:rPr>
          <w:rFonts w:ascii="Book Antiqua" w:hAnsi="Book Antiqua"/>
          <w:sz w:val="24"/>
          <w:szCs w:val="20"/>
        </w:rPr>
      </w:pPr>
      <w:r>
        <w:rPr>
          <w:rFonts w:ascii="Book Antiqua" w:hAnsi="Book Antiqua"/>
          <w:sz w:val="24"/>
          <w:szCs w:val="20"/>
        </w:rPr>
        <w:t>Boss</w:t>
      </w:r>
      <w:r w:rsidRPr="00BA4141">
        <w:rPr>
          <w:rFonts w:ascii="Book Antiqua" w:hAnsi="Book Antiqua"/>
          <w:sz w:val="24"/>
          <w:szCs w:val="20"/>
        </w:rPr>
        <w:t xml:space="preserve"> is a company that specialises in the production of bespoke sofas and chairs. Its products are advertised in most quality lifestyle magazines. The company was started ten years ago. It grew out of a desire to provide customers with the chance to specify their own bespoke furniture at a cost that compared favourably with standard products available from high street retailers. It sells furniture directly to the end customer. Its website allowscustomers to select the style of furniture, the wood it is to be made from, the type of upholstery used in cushion andseat fillings and the textile composition and pattern of the covering. The current website has over 60 textile patternswhich can be selected by the customer. Once the customer has finished specifying the kind of furniture they want, aprice is given. If this price is acceptable to the customer, then an order is placed and an estimated delivery date isgiven. Most delivery dates are ten weeks after the order has been placed. This relatively long delivery time isunacceptable to some customers and so they cancel the order immediately, citing the quoted long delivery time astheir reason for cancellation.</w:t>
      </w:r>
    </w:p>
    <w:p w:rsidR="00AB0EB4" w:rsidRPr="00BA4141" w:rsidRDefault="00AB0EB4" w:rsidP="00AB0EB4">
      <w:pPr>
        <w:tabs>
          <w:tab w:val="left" w:pos="3645"/>
        </w:tabs>
        <w:jc w:val="both"/>
        <w:rPr>
          <w:rFonts w:ascii="Book Antiqua" w:hAnsi="Book Antiqua"/>
          <w:sz w:val="24"/>
          <w:szCs w:val="20"/>
        </w:rPr>
      </w:pPr>
      <w:r>
        <w:rPr>
          <w:rFonts w:ascii="Book Antiqua" w:hAnsi="Book Antiqua"/>
          <w:sz w:val="24"/>
          <w:szCs w:val="20"/>
        </w:rPr>
        <w:t>Boss</w:t>
      </w:r>
      <w:r w:rsidRPr="00BA4141">
        <w:rPr>
          <w:rFonts w:ascii="Book Antiqua" w:hAnsi="Book Antiqua"/>
          <w:sz w:val="24"/>
          <w:szCs w:val="20"/>
        </w:rPr>
        <w:t xml:space="preserve"> orders wood, upholstery and textiles from long-established suppliers. About 95% of its wood iscurrently supplied by three timber suppliers, all of whom supplied the company in its first year of operation. Purchaseorders with suppliers are placed by the procurement section. Until last year, they faxed purchase orders through tosuppliers. They now email these orders. Recently, an expected order was not delivered because the supplier claimedthat no email was received. This caused production delays. Although suppliers like working with </w:t>
      </w:r>
      <w:r>
        <w:rPr>
          <w:rFonts w:ascii="Book Antiqua" w:hAnsi="Book Antiqua"/>
          <w:sz w:val="24"/>
          <w:szCs w:val="20"/>
        </w:rPr>
        <w:t>Boss</w:t>
      </w:r>
      <w:r w:rsidRPr="00BA4141">
        <w:rPr>
          <w:rFonts w:ascii="Book Antiqua" w:hAnsi="Book Antiqua"/>
          <w:sz w:val="24"/>
          <w:szCs w:val="20"/>
        </w:rPr>
        <w:t xml:space="preserve">,they are often critical of payment processing. On a number of occasions the accounts section at </w:t>
      </w:r>
      <w:r>
        <w:rPr>
          <w:rFonts w:ascii="Book Antiqua" w:hAnsi="Book Antiqua"/>
          <w:sz w:val="24"/>
          <w:szCs w:val="20"/>
        </w:rPr>
        <w:t>Boss</w:t>
      </w:r>
      <w:r w:rsidRPr="00BA4141">
        <w:rPr>
          <w:rFonts w:ascii="Book Antiqua" w:hAnsi="Book Antiqua"/>
          <w:sz w:val="24"/>
          <w:szCs w:val="20"/>
        </w:rPr>
        <w:t xml:space="preserve"> hasbeen unable to match supplier invoices with purchase orders, leading to long delays in the payment of suppliers.</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 xml:space="preserve">The sofas and chairs are built in </w:t>
      </w:r>
      <w:r>
        <w:rPr>
          <w:rFonts w:ascii="Book Antiqua" w:hAnsi="Book Antiqua"/>
          <w:sz w:val="24"/>
          <w:szCs w:val="20"/>
        </w:rPr>
        <w:t>Boss</w:t>
      </w:r>
      <w:r w:rsidRPr="00BA4141">
        <w:rPr>
          <w:rFonts w:ascii="Book Antiqua" w:hAnsi="Book Antiqua"/>
          <w:sz w:val="24"/>
          <w:szCs w:val="20"/>
        </w:rPr>
        <w:t>’s factory. Relatively high inventory levels and a relaxed productionprocess means that production is rarely disrupted. Despite this, the company is unable to meet 45% of the estimateddelivery dates given when the order was placed, due to the required goods not being finished in time. Consequently,a member of the sales team has to telephone the customer and discuss an alternative delivery date.</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 xml:space="preserve">Telephoning the customer to change the delivery date presents a number of problems. Firstly, contacting the customerby telephone can be difficult and costly. Secondly, many customers are disappointed that the original, promiseddelivery date can no longer be met. Finally, customers often have to agree a delivery date much later than the newdelivery date suggested by </w:t>
      </w:r>
      <w:r>
        <w:rPr>
          <w:rFonts w:ascii="Book Antiqua" w:hAnsi="Book Antiqua"/>
          <w:sz w:val="24"/>
          <w:szCs w:val="20"/>
        </w:rPr>
        <w:t>Boss</w:t>
      </w:r>
      <w:r w:rsidRPr="00BA4141">
        <w:rPr>
          <w:rFonts w:ascii="Book Antiqua" w:hAnsi="Book Antiqua"/>
          <w:sz w:val="24"/>
          <w:szCs w:val="20"/>
        </w:rPr>
        <w:t xml:space="preserve">. This is because customers often get less than one </w:t>
      </w:r>
      <w:r w:rsidRPr="00BA4141">
        <w:rPr>
          <w:rFonts w:ascii="Book Antiqua" w:hAnsi="Book Antiqua"/>
          <w:sz w:val="24"/>
          <w:szCs w:val="20"/>
        </w:rPr>
        <w:lastRenderedPageBreak/>
        <w:t>week’s notice of thenew date and so they have to defer delivery to much later. This means that the goods have to remain in the warehousefor longer.</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 xml:space="preserve">A separate delivery problem arises because of the bulky and high value nature of the product. </w:t>
      </w:r>
      <w:r>
        <w:rPr>
          <w:rFonts w:ascii="Book Antiqua" w:hAnsi="Book Antiqua"/>
          <w:sz w:val="24"/>
          <w:szCs w:val="20"/>
        </w:rPr>
        <w:t>Boss</w:t>
      </w:r>
      <w:r w:rsidRPr="00BA4141">
        <w:rPr>
          <w:rFonts w:ascii="Book Antiqua" w:hAnsi="Book Antiqua"/>
          <w:sz w:val="24"/>
          <w:szCs w:val="20"/>
        </w:rPr>
        <w:t>requires someone to be available at the delivery address to sign for its safe receipt and to put the goods somewheresecure and dry. About 30% of intended deliveries do not take place because there is no-one at the address to acceptdelivery. Consequently, furniture has to be returned and stored at the factory. A member of the sales staff willsubsequently telephone the customer and negotiate a new delivery date but, again, contacting the customer bytelephone can be difficult and costly.</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Delivery of furniture is made using the company’s own vans. Each of these vans follow a defined route each day ofthe week, irrespective of demand.</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 xml:space="preserve">The company’s original growth was primarily due to the innovative business idea behind specifying competitivelypriced bespoke furniture. However, established rivals are now offering a similar service. In the face of this competitionthe managing director of </w:t>
      </w:r>
      <w:r>
        <w:rPr>
          <w:rFonts w:ascii="Book Antiqua" w:hAnsi="Book Antiqua"/>
          <w:sz w:val="24"/>
          <w:szCs w:val="20"/>
        </w:rPr>
        <w:t>Boss</w:t>
      </w:r>
      <w:r w:rsidRPr="00BA4141">
        <w:rPr>
          <w:rFonts w:ascii="Book Antiqua" w:hAnsi="Book Antiqua"/>
          <w:sz w:val="24"/>
          <w:szCs w:val="20"/>
        </w:rPr>
        <w:t xml:space="preserve"> has urged a thorough review of the supply chain. She feels that costs andinventory levels are too high and that the time taken from order to delivery is too long. Furthermore, in a recentcustomer satisfaction survey there was major criticism about the lack of information about the progress of the orderafter it was placed. One commented that ‘as soon as </w:t>
      </w:r>
      <w:r>
        <w:rPr>
          <w:rFonts w:ascii="Book Antiqua" w:hAnsi="Book Antiqua"/>
          <w:sz w:val="24"/>
          <w:szCs w:val="20"/>
        </w:rPr>
        <w:t>Boss</w:t>
      </w:r>
      <w:r w:rsidRPr="00BA4141">
        <w:rPr>
          <w:rFonts w:ascii="Book Antiqua" w:hAnsi="Book Antiqua"/>
          <w:sz w:val="24"/>
          <w:szCs w:val="20"/>
        </w:rPr>
        <w:t xml:space="preserve"> got my order and my money they seemed toforget about me. For ten weeks I heard nothing. Then, just three days before my estimated delivery date, I receiveda phone call telling me that the order had been delayed and that the estimated delivery date was now 17 June. I hadalready taken a day off work for 10 June, my original delivery date. I could not re-arrange this day off and so I hadto agree a delivery date of 24 June when my mother would be here to receive it’.</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 xml:space="preserve">People were also critical about after-sales service. One commented ‘I accidently stained my sofa. Nobody at </w:t>
      </w:r>
      <w:r>
        <w:rPr>
          <w:rFonts w:ascii="Book Antiqua" w:hAnsi="Book Antiqua"/>
          <w:sz w:val="24"/>
          <w:szCs w:val="20"/>
        </w:rPr>
        <w:t>Boss</w:t>
      </w:r>
      <w:r w:rsidRPr="00BA4141">
        <w:rPr>
          <w:rFonts w:ascii="Book Antiqua" w:hAnsi="Book Antiqua"/>
          <w:sz w:val="24"/>
          <w:szCs w:val="20"/>
        </w:rPr>
        <w:t xml:space="preserve"> could tell me how to clean it or how to order replacement fabrics for my sofa’. Another said ‘organising thereturn of a faulty chair was very difficult’.</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 xml:space="preserve">When the managing director of </w:t>
      </w:r>
      <w:r>
        <w:rPr>
          <w:rFonts w:ascii="Book Antiqua" w:hAnsi="Book Antiqua"/>
          <w:sz w:val="24"/>
          <w:szCs w:val="20"/>
        </w:rPr>
        <w:t>Boss</w:t>
      </w:r>
      <w:r w:rsidRPr="00BA4141">
        <w:rPr>
          <w:rFonts w:ascii="Book Antiqua" w:hAnsi="Book Antiqua"/>
          <w:sz w:val="24"/>
          <w:szCs w:val="20"/>
        </w:rPr>
        <w:t xml:space="preserve"> saw the results of the survey she understood ‘why our customerretention rate is so low’.</w:t>
      </w: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Required:</w:t>
      </w:r>
    </w:p>
    <w:p w:rsidR="00AB0EB4" w:rsidRPr="00BA4141" w:rsidRDefault="00AB0EB4" w:rsidP="00387FB1">
      <w:pPr>
        <w:pStyle w:val="ListParagraph"/>
        <w:widowControl/>
        <w:numPr>
          <w:ilvl w:val="0"/>
          <w:numId w:val="10"/>
        </w:numPr>
        <w:tabs>
          <w:tab w:val="left" w:pos="3645"/>
        </w:tabs>
        <w:spacing w:after="200" w:line="276" w:lineRule="auto"/>
        <w:contextualSpacing/>
        <w:jc w:val="both"/>
        <w:rPr>
          <w:rFonts w:ascii="Book Antiqua" w:hAnsi="Book Antiqua"/>
          <w:b/>
          <w:sz w:val="24"/>
          <w:szCs w:val="20"/>
        </w:rPr>
      </w:pPr>
      <w:r w:rsidRPr="00BA4141">
        <w:rPr>
          <w:rFonts w:ascii="Book Antiqua" w:hAnsi="Book Antiqua"/>
          <w:b/>
          <w:sz w:val="24"/>
          <w:szCs w:val="20"/>
        </w:rPr>
        <w:t xml:space="preserve">Analyse the existing value chain, using it to highlight areas of weakness at </w:t>
      </w:r>
      <w:r>
        <w:rPr>
          <w:rFonts w:ascii="Book Antiqua" w:hAnsi="Book Antiqua"/>
          <w:b/>
          <w:sz w:val="24"/>
          <w:szCs w:val="20"/>
        </w:rPr>
        <w:t>Boss</w:t>
      </w:r>
      <w:r w:rsidRPr="00BA4141">
        <w:rPr>
          <w:rFonts w:ascii="Book Antiqua" w:hAnsi="Book Antiqua"/>
          <w:b/>
          <w:sz w:val="24"/>
          <w:szCs w:val="20"/>
        </w:rPr>
        <w:t xml:space="preserve">. </w:t>
      </w:r>
    </w:p>
    <w:p w:rsidR="00AB0EB4" w:rsidRPr="00BA4141" w:rsidRDefault="00AB0EB4" w:rsidP="00387FB1">
      <w:pPr>
        <w:pStyle w:val="ListParagraph"/>
        <w:widowControl/>
        <w:numPr>
          <w:ilvl w:val="0"/>
          <w:numId w:val="10"/>
        </w:numPr>
        <w:tabs>
          <w:tab w:val="left" w:pos="3645"/>
        </w:tabs>
        <w:spacing w:after="200" w:line="276" w:lineRule="auto"/>
        <w:contextualSpacing/>
        <w:jc w:val="both"/>
        <w:rPr>
          <w:rFonts w:ascii="Book Antiqua" w:hAnsi="Book Antiqua"/>
          <w:b/>
          <w:sz w:val="24"/>
          <w:szCs w:val="20"/>
        </w:rPr>
      </w:pPr>
      <w:r w:rsidRPr="00BA4141">
        <w:rPr>
          <w:rFonts w:ascii="Book Antiqua" w:hAnsi="Book Antiqua"/>
          <w:b/>
          <w:sz w:val="24"/>
          <w:szCs w:val="20"/>
        </w:rPr>
        <w:t xml:space="preserve">Evaluate how technology could be used in both the upstream and the downstream supply chain to addressthe problems identified at </w:t>
      </w:r>
      <w:r>
        <w:rPr>
          <w:rFonts w:ascii="Book Antiqua" w:hAnsi="Book Antiqua"/>
          <w:b/>
          <w:sz w:val="24"/>
          <w:szCs w:val="20"/>
        </w:rPr>
        <w:t>Boss</w:t>
      </w:r>
      <w:r w:rsidRPr="00BA4141">
        <w:rPr>
          <w:rFonts w:ascii="Book Antiqua" w:hAnsi="Book Antiqua"/>
          <w:b/>
          <w:sz w:val="24"/>
          <w:szCs w:val="20"/>
        </w:rPr>
        <w:t>.</w:t>
      </w:r>
    </w:p>
    <w:p w:rsidR="00AB0EB4" w:rsidRPr="00B51CF7" w:rsidRDefault="00AB0EB4" w:rsidP="00AB0EB4">
      <w:pPr>
        <w:tabs>
          <w:tab w:val="left" w:pos="3645"/>
        </w:tabs>
        <w:jc w:val="both"/>
        <w:rPr>
          <w:rFonts w:ascii="Book Antiqua" w:hAnsi="Book Antiqua"/>
          <w:b/>
          <w:sz w:val="24"/>
          <w:szCs w:val="20"/>
        </w:rPr>
      </w:pPr>
      <w:r w:rsidRPr="00B51CF7">
        <w:rPr>
          <w:rFonts w:ascii="Book Antiqua" w:hAnsi="Book Antiqua"/>
          <w:b/>
          <w:sz w:val="24"/>
          <w:szCs w:val="20"/>
        </w:rPr>
        <w:t>Answer:-</w:t>
      </w:r>
    </w:p>
    <w:p w:rsidR="00AB0EB4" w:rsidRPr="00BA4141" w:rsidRDefault="00AB0EB4" w:rsidP="00387FB1">
      <w:pPr>
        <w:pStyle w:val="ListParagraph"/>
        <w:widowControl/>
        <w:numPr>
          <w:ilvl w:val="0"/>
          <w:numId w:val="11"/>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 xml:space="preserve">The value chain was introduced by Michael Porter as a way of examining all the activities a firm performs and how these activities interact. By understanding the value chain the analyst can understand costs and identify existing and potential sources of differentiation. The value chain of the organisation is concerned with creating value for customers. A firm is profitable if the value it commands from </w:t>
      </w:r>
      <w:r w:rsidRPr="00BA4141">
        <w:rPr>
          <w:rFonts w:ascii="Book Antiqua" w:hAnsi="Book Antiqua"/>
          <w:sz w:val="24"/>
          <w:szCs w:val="20"/>
        </w:rPr>
        <w:lastRenderedPageBreak/>
        <w:t>the customer exceeds the costs involved in creating the product or service that delivers that value.</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The primary activities of the value chain are the activities required to physically produce the product, get it to the customer and provide that customer with after-sales service and assistance. Support activities provide organisation-wide functions (such as procurement and technology) to support the primary activities. In general, they support the whole value chain.</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In the context of </w:t>
      </w:r>
      <w:r>
        <w:rPr>
          <w:rFonts w:ascii="Book Antiqua" w:hAnsi="Book Antiqua"/>
          <w:sz w:val="24"/>
          <w:szCs w:val="20"/>
        </w:rPr>
        <w:t>Boss</w:t>
      </w:r>
      <w:r w:rsidRPr="00BA4141">
        <w:rPr>
          <w:rFonts w:ascii="Book Antiqua" w:hAnsi="Book Antiqua"/>
          <w:sz w:val="24"/>
          <w:szCs w:val="20"/>
        </w:rPr>
        <w:t>, the primary activities and their problems are:</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i/>
          <w:sz w:val="24"/>
          <w:szCs w:val="20"/>
        </w:rPr>
        <w:t>Inbound logistics –</w:t>
      </w:r>
      <w:r w:rsidRPr="00BA4141">
        <w:rPr>
          <w:rFonts w:ascii="Book Antiqua" w:hAnsi="Book Antiqua"/>
          <w:sz w:val="24"/>
          <w:szCs w:val="20"/>
        </w:rPr>
        <w:t xml:space="preserve"> activities associated with receiving, storing and distributing inputs to the product. This includes warehousing, inventory control and raw materials. At </w:t>
      </w:r>
      <w:r>
        <w:rPr>
          <w:rFonts w:ascii="Book Antiqua" w:hAnsi="Book Antiqua"/>
          <w:sz w:val="24"/>
          <w:szCs w:val="20"/>
        </w:rPr>
        <w:t>Boss</w:t>
      </w:r>
      <w:r w:rsidRPr="00BA4141">
        <w:rPr>
          <w:rFonts w:ascii="Book Antiqua" w:hAnsi="Book Antiqua"/>
          <w:sz w:val="24"/>
          <w:szCs w:val="20"/>
        </w:rPr>
        <w:t xml:space="preserve"> this concerns wood, upholstery, textiles and other raw materials. It concerns the storage of these raw materials before they are used in production. At </w:t>
      </w:r>
      <w:r>
        <w:rPr>
          <w:rFonts w:ascii="Book Antiqua" w:hAnsi="Book Antiqua"/>
          <w:sz w:val="24"/>
          <w:szCs w:val="20"/>
        </w:rPr>
        <w:t>Boss</w:t>
      </w:r>
      <w:r w:rsidRPr="00BA4141">
        <w:rPr>
          <w:rFonts w:ascii="Book Antiqua" w:hAnsi="Book Antiqua"/>
          <w:sz w:val="24"/>
          <w:szCs w:val="20"/>
        </w:rPr>
        <w:t xml:space="preserve"> there are documented problems with the e-mail purchase ordering system, which has led to the non-delivery of an expected order. High inventory levels are also commented on in the scenario and these need further investigation.</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i/>
          <w:sz w:val="24"/>
          <w:szCs w:val="20"/>
        </w:rPr>
        <w:t>Operations –</w:t>
      </w:r>
      <w:r w:rsidRPr="00BA4141">
        <w:rPr>
          <w:rFonts w:ascii="Book Antiqua" w:hAnsi="Book Antiqua"/>
          <w:sz w:val="24"/>
          <w:szCs w:val="20"/>
        </w:rPr>
        <w:t xml:space="preserve"> activities concerned with transforming the inputs into their final form; machining, packaging, assembly and testing. At </w:t>
      </w:r>
      <w:r>
        <w:rPr>
          <w:rFonts w:ascii="Book Antiqua" w:hAnsi="Book Antiqua"/>
          <w:sz w:val="24"/>
          <w:szCs w:val="20"/>
        </w:rPr>
        <w:t>Boss</w:t>
      </w:r>
      <w:r w:rsidRPr="00BA4141">
        <w:rPr>
          <w:rFonts w:ascii="Book Antiqua" w:hAnsi="Book Antiqua"/>
          <w:sz w:val="24"/>
          <w:szCs w:val="20"/>
        </w:rPr>
        <w:t xml:space="preserve"> this is the production process of furniture manufacture. Despite high inventory levels and a relatively slow production process, almost half of the promised delivery dates are not achieved. The reasons for this again need further investigation. Perhaps the method for estimating the delivery date is too optimistic. Alternatively, there may be inefficiencies in the production process which need addressing. As well as disappointing customers, failure to meet the proposed delivery date causes increased administrative costs, as a member of the sales team has to contact the customer and rearrange the delivery date.</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i/>
          <w:sz w:val="24"/>
          <w:szCs w:val="20"/>
        </w:rPr>
        <w:t>Outbound logistics –</w:t>
      </w:r>
      <w:r w:rsidRPr="00BA4141">
        <w:rPr>
          <w:rFonts w:ascii="Book Antiqua" w:hAnsi="Book Antiqua"/>
          <w:sz w:val="24"/>
          <w:szCs w:val="20"/>
        </w:rPr>
        <w:t xml:space="preserve"> activities associated with storing finished goods and physically distributing these to the customer. At </w:t>
      </w:r>
      <w:r>
        <w:rPr>
          <w:rFonts w:ascii="Book Antiqua" w:hAnsi="Book Antiqua"/>
          <w:sz w:val="24"/>
          <w:szCs w:val="20"/>
        </w:rPr>
        <w:t>Boss</w:t>
      </w:r>
      <w:r w:rsidRPr="00BA4141">
        <w:rPr>
          <w:rFonts w:ascii="Book Antiqua" w:hAnsi="Book Antiqua"/>
          <w:sz w:val="24"/>
          <w:szCs w:val="20"/>
        </w:rPr>
        <w:t xml:space="preserve"> this is the storage of completed furniture and the delivery of furniture, using their vans, to customers. The cost of storing of finished goods is exacerbated by the need to store them longer than is necessary. There are two reasons for this. The first is concerned with customers not being able to meet revised delivery dates and so deferring delivery. The second reason is the return and storage of goods where delivery cannot be made because the customer is not at home to sign for them. Storage of finished goods increases inventory holding costs. Failed deliveries increase administrative costs (a member of the sales team has to telephone customers to re-arrange the delivery) and distribution costs (the delivery has to be made again).</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i/>
          <w:sz w:val="24"/>
          <w:szCs w:val="20"/>
        </w:rPr>
        <w:t>Marketing and sales –</w:t>
      </w:r>
      <w:r w:rsidRPr="00BA4141">
        <w:rPr>
          <w:rFonts w:ascii="Book Antiqua" w:hAnsi="Book Antiqua"/>
          <w:sz w:val="24"/>
          <w:szCs w:val="20"/>
        </w:rPr>
        <w:t xml:space="preserve"> activities that allow a buyer to become aware of a product, induces them to purchase this product and supports the actual purchase of the product. At </w:t>
      </w:r>
      <w:r>
        <w:rPr>
          <w:rFonts w:ascii="Book Antiqua" w:hAnsi="Book Antiqua"/>
          <w:sz w:val="24"/>
          <w:szCs w:val="20"/>
        </w:rPr>
        <w:t>Boss</w:t>
      </w:r>
      <w:r w:rsidRPr="00BA4141">
        <w:rPr>
          <w:rFonts w:ascii="Book Antiqua" w:hAnsi="Book Antiqua"/>
          <w:sz w:val="24"/>
          <w:szCs w:val="20"/>
        </w:rPr>
        <w:t xml:space="preserve"> this is achieved largely by display advertising in quality magazines and through a web-based ordering system. The sequence of the web-based ordering system may repay investigation and amendment. The estimated delivery time is given after the order has been placed and this causes some customers to immediately cancel their orders. It is perhaps unlikely that such customers will return to place orders with </w:t>
      </w:r>
      <w:r>
        <w:rPr>
          <w:rFonts w:ascii="Book Antiqua" w:hAnsi="Book Antiqua"/>
          <w:sz w:val="24"/>
          <w:szCs w:val="20"/>
        </w:rPr>
        <w:t>Boss</w:t>
      </w:r>
      <w:r w:rsidRPr="00BA4141">
        <w:rPr>
          <w:rFonts w:ascii="Book Antiqua" w:hAnsi="Book Antiqua"/>
          <w:sz w:val="24"/>
          <w:szCs w:val="20"/>
        </w:rPr>
        <w:t>.</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i/>
          <w:sz w:val="24"/>
          <w:szCs w:val="20"/>
        </w:rPr>
        <w:t>Servicing –</w:t>
      </w:r>
      <w:r w:rsidRPr="00BA4141">
        <w:rPr>
          <w:rFonts w:ascii="Book Antiqua" w:hAnsi="Book Antiqua"/>
          <w:sz w:val="24"/>
          <w:szCs w:val="20"/>
        </w:rPr>
        <w:t xml:space="preserve"> activities that enhance or maintain the value of the product, including repair, parts supply and product adjustment. At </w:t>
      </w:r>
      <w:r>
        <w:rPr>
          <w:rFonts w:ascii="Book Antiqua" w:hAnsi="Book Antiqua"/>
          <w:sz w:val="24"/>
          <w:szCs w:val="20"/>
        </w:rPr>
        <w:t>Boss</w:t>
      </w:r>
      <w:r w:rsidRPr="00BA4141">
        <w:rPr>
          <w:rFonts w:ascii="Book Antiqua" w:hAnsi="Book Antiqua"/>
          <w:sz w:val="24"/>
          <w:szCs w:val="20"/>
        </w:rPr>
        <w:t xml:space="preserve"> this would concern replacement of faulty </w:t>
      </w:r>
      <w:r w:rsidRPr="00BA4141">
        <w:rPr>
          <w:rFonts w:ascii="Book Antiqua" w:hAnsi="Book Antiqua"/>
          <w:sz w:val="24"/>
          <w:szCs w:val="20"/>
        </w:rPr>
        <w:lastRenderedPageBreak/>
        <w:t xml:space="preserve">or spoilt goods, complaints handling and product care information. Customers are critical of after-sales service at </w:t>
      </w:r>
      <w:r>
        <w:rPr>
          <w:rFonts w:ascii="Book Antiqua" w:hAnsi="Book Antiqua"/>
          <w:sz w:val="24"/>
          <w:szCs w:val="20"/>
        </w:rPr>
        <w:t>Boss</w:t>
      </w:r>
      <w:r w:rsidRPr="00BA4141">
        <w:rPr>
          <w:rFonts w:ascii="Book Antiqua" w:hAnsi="Book Antiqua"/>
          <w:sz w:val="24"/>
          <w:szCs w:val="20"/>
        </w:rPr>
        <w:t xml:space="preserve"> and the managing director believes that this contributes to low customer retention.</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value chain also considers a number of secondary or support activities. Only one of these is specifically relevant in the context of the </w:t>
      </w:r>
      <w:r>
        <w:rPr>
          <w:rFonts w:ascii="Book Antiqua" w:hAnsi="Book Antiqua"/>
          <w:sz w:val="24"/>
          <w:szCs w:val="20"/>
        </w:rPr>
        <w:t>Boss</w:t>
      </w:r>
      <w:r w:rsidRPr="00BA4141">
        <w:rPr>
          <w:rFonts w:ascii="Book Antiqua" w:hAnsi="Book Antiqua"/>
          <w:sz w:val="24"/>
          <w:szCs w:val="20"/>
        </w:rPr>
        <w:t xml:space="preserve"> scenario.</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Procurement refers to the function of purchasing inputs used in the organisation’s value chain. It does not refer to the purchase inputs themselves. The cost of the procurement function may be relatively small, but their practices greatly affect the quality and cost of the final product. At </w:t>
      </w:r>
      <w:r>
        <w:rPr>
          <w:rFonts w:ascii="Book Antiqua" w:hAnsi="Book Antiqua"/>
          <w:sz w:val="24"/>
          <w:szCs w:val="20"/>
        </w:rPr>
        <w:t>Boss</w:t>
      </w:r>
      <w:r w:rsidRPr="00BA4141">
        <w:rPr>
          <w:rFonts w:ascii="Book Antiqua" w:hAnsi="Book Antiqua"/>
          <w:sz w:val="24"/>
          <w:szCs w:val="20"/>
        </w:rPr>
        <w:t>, the cost of wood, upholstery and textiles will be an important determinant of the product cost. The long-term arrangement with suppliers needs investigating. Three timber suppliers provide 95% of the wood. Such arrangements may lead to suppliers becoming comfortable and progressively uncompetitive.</w:t>
      </w:r>
    </w:p>
    <w:p w:rsidR="00AB0EB4" w:rsidRPr="00BA4141" w:rsidRDefault="00AB0EB4" w:rsidP="00AB0EB4">
      <w:pPr>
        <w:pStyle w:val="ListParagraph"/>
        <w:tabs>
          <w:tab w:val="left" w:pos="3645"/>
        </w:tabs>
        <w:jc w:val="both"/>
        <w:rPr>
          <w:rFonts w:ascii="Book Antiqua" w:hAnsi="Book Antiqua"/>
          <w:sz w:val="24"/>
          <w:szCs w:val="20"/>
        </w:rPr>
      </w:pPr>
    </w:p>
    <w:p w:rsidR="00AB0EB4" w:rsidRPr="00BA4141" w:rsidRDefault="00AB0EB4" w:rsidP="00387FB1">
      <w:pPr>
        <w:pStyle w:val="ListParagraph"/>
        <w:widowControl/>
        <w:numPr>
          <w:ilvl w:val="0"/>
          <w:numId w:val="11"/>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This question is primarily concerned with re-examining the upstream and downstream supply chains to explore opportunities for reducing cost, improving order-to-delivery time, improving delivery practices and enhancing customer service. Clearly there are many possibilities. Candidates, however, will only be given credit for suggestions that use technology (rather than organisational changes) and that are clearly relevant to the case study scenario and the products it concerns.</w:t>
      </w:r>
    </w:p>
    <w:p w:rsidR="00AB0EB4" w:rsidRPr="00BA4141" w:rsidRDefault="00AB0EB4" w:rsidP="00AB0EB4">
      <w:pPr>
        <w:pStyle w:val="ListParagraph"/>
        <w:tabs>
          <w:tab w:val="left" w:pos="3645"/>
        </w:tabs>
        <w:jc w:val="both"/>
        <w:rPr>
          <w:rFonts w:ascii="Book Antiqua" w:hAnsi="Book Antiqua"/>
          <w:b/>
          <w:sz w:val="24"/>
          <w:szCs w:val="20"/>
        </w:rPr>
      </w:pPr>
      <w:r w:rsidRPr="00BA4141">
        <w:rPr>
          <w:rFonts w:ascii="Book Antiqua" w:hAnsi="Book Antiqua"/>
          <w:b/>
          <w:sz w:val="24"/>
          <w:szCs w:val="20"/>
        </w:rPr>
        <w:t>Upstream supply chain solutions</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upstream activities concern selecting suppliers (procurement), placing orders (procurement) and storing raw material inventory (inbound logistics). Dave Chaffey identifies six main challenges in the supply chain. Three of these six are relevant to </w:t>
      </w:r>
      <w:r>
        <w:rPr>
          <w:rFonts w:ascii="Book Antiqua" w:hAnsi="Book Antiqua"/>
          <w:sz w:val="24"/>
          <w:szCs w:val="20"/>
        </w:rPr>
        <w:t>Boss</w:t>
      </w:r>
      <w:r w:rsidRPr="00BA4141">
        <w:rPr>
          <w:rFonts w:ascii="Book Antiqua" w:hAnsi="Book Antiqua"/>
          <w:sz w:val="24"/>
          <w:szCs w:val="20"/>
        </w:rPr>
        <w:t>.</w:t>
      </w:r>
    </w:p>
    <w:p w:rsidR="00AB0EB4" w:rsidRPr="00BA4141" w:rsidRDefault="00AB0EB4" w:rsidP="00387FB1">
      <w:pPr>
        <w:pStyle w:val="ListParagraph"/>
        <w:widowControl/>
        <w:numPr>
          <w:ilvl w:val="0"/>
          <w:numId w:val="9"/>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Reduce order-to-delivery time</w:t>
      </w:r>
    </w:p>
    <w:p w:rsidR="00AB0EB4" w:rsidRPr="00BA4141" w:rsidRDefault="00AB0EB4" w:rsidP="00387FB1">
      <w:pPr>
        <w:pStyle w:val="ListParagraph"/>
        <w:widowControl/>
        <w:numPr>
          <w:ilvl w:val="0"/>
          <w:numId w:val="9"/>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Manage inventory more effectively</w:t>
      </w:r>
    </w:p>
    <w:p w:rsidR="00AB0EB4" w:rsidRPr="00BA4141" w:rsidRDefault="00AB0EB4" w:rsidP="00387FB1">
      <w:pPr>
        <w:pStyle w:val="ListParagraph"/>
        <w:widowControl/>
        <w:numPr>
          <w:ilvl w:val="0"/>
          <w:numId w:val="9"/>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Improve demand forecasting</w:t>
      </w:r>
    </w:p>
    <w:p w:rsidR="00AB0EB4" w:rsidRPr="00B51CF7" w:rsidRDefault="00AB0EB4" w:rsidP="00AB0EB4">
      <w:pPr>
        <w:tabs>
          <w:tab w:val="left" w:pos="3645"/>
        </w:tabs>
        <w:ind w:left="720"/>
        <w:jc w:val="both"/>
        <w:rPr>
          <w:rFonts w:ascii="Book Antiqua" w:hAnsi="Book Antiqua"/>
          <w:b/>
          <w:sz w:val="24"/>
          <w:szCs w:val="20"/>
        </w:rPr>
      </w:pPr>
      <w:r w:rsidRPr="00B51CF7">
        <w:rPr>
          <w:rFonts w:ascii="Book Antiqua" w:hAnsi="Book Antiqua"/>
          <w:b/>
          <w:sz w:val="24"/>
          <w:szCs w:val="20"/>
        </w:rPr>
        <w:t>Suggestions for improvement might include:</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As mentioned in the answer to the first part of this question, procurement continually uses the same long-established suppliers (for example, 95% of timber comes from three established suppliers). These suppliers may have become complacent and uncompetitive. The company might consider using e-procurement websites to identify a wider range of suppliers and then select between these suppliers on the basis of cost and quality when placing individual orders. Such an approach should help drive down raw material costs and re-focus the costs and service offered by the established suppliers.</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 xml:space="preserve">Although the purchase orders are placed through email, the ordering process is relatively cumbersome with suppliers occasionally failing to respond to emails or, when an expected delivery is not received, claiming they did not receive them in the first place. The payment system (operated by accounts) sometimes fails to match purchase orders with supplier invoices, leading to delayed supplier </w:t>
      </w:r>
      <w:r w:rsidRPr="00BA4141">
        <w:rPr>
          <w:rFonts w:ascii="Book Antiqua" w:hAnsi="Book Antiqua"/>
          <w:sz w:val="24"/>
          <w:szCs w:val="20"/>
        </w:rPr>
        <w:lastRenderedPageBreak/>
        <w:t>payment and discontent. The company might consider a new system to administer purchasing and payment, linked electronically (through EDI) to the suppliers, so that orders are automatically entered into the supplier’s system and all invoice reconciliation and payment is performed electronically. This may require the company to continue to trade with a selected number of small suppliers, but it should help avoid non-delivery, reduce administrative costs and improve supplier relationships.</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 xml:space="preserve">To avoid delays through inventory shortages, linkage with supplier systems might be increased by allowing suppliers to see the demand for certain products so that suppliers can, to some extent, anticipate demand and so should be able to supply more quickly. This would require further investigation and it seems likely that it would work better for certain raw materials than others. For example, the textile suppliers would be able to see the relative demand for different patterns and adjust their production accordingly. This should lead to </w:t>
      </w:r>
      <w:r>
        <w:rPr>
          <w:rFonts w:ascii="Book Antiqua" w:hAnsi="Book Antiqua"/>
          <w:sz w:val="24"/>
          <w:szCs w:val="20"/>
        </w:rPr>
        <w:t>Boss</w:t>
      </w:r>
      <w:r w:rsidRPr="00BA4141">
        <w:rPr>
          <w:rFonts w:ascii="Book Antiqua" w:hAnsi="Book Antiqua"/>
          <w:sz w:val="24"/>
          <w:szCs w:val="20"/>
        </w:rPr>
        <w:t xml:space="preserve"> achieving a higher percentage of planned customer order dates, as well as reducing delivery lead time.</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 xml:space="preserve">Increased integration also brings the promise of better inventory management, with the opportunity of suppliers effectively producing to order rather than to stock, which is, in effect, an extension of what </w:t>
      </w:r>
      <w:r>
        <w:rPr>
          <w:rFonts w:ascii="Book Antiqua" w:hAnsi="Book Antiqua"/>
          <w:sz w:val="24"/>
          <w:szCs w:val="20"/>
        </w:rPr>
        <w:t>Boss</w:t>
      </w:r>
      <w:r w:rsidRPr="00BA4141">
        <w:rPr>
          <w:rFonts w:ascii="Book Antiqua" w:hAnsi="Book Antiqua"/>
          <w:sz w:val="24"/>
          <w:szCs w:val="20"/>
        </w:rPr>
        <w:t xml:space="preserve"> is doing. Closer integration of customer and supplier systems also provides the opportunity for ‘just in time’ manufacture where raw materials arrive just before they are needed in the production process. Although this transfers inventory costs to suppliers, more understanding of demand should mean that suppliers’ inventory management is also more effective. Reduced inventory costs for the supplier might also be passed on to </w:t>
      </w:r>
      <w:r>
        <w:rPr>
          <w:rFonts w:ascii="Book Antiqua" w:hAnsi="Book Antiqua"/>
          <w:sz w:val="24"/>
          <w:szCs w:val="20"/>
        </w:rPr>
        <w:t>Boss</w:t>
      </w:r>
      <w:r w:rsidRPr="00BA4141">
        <w:rPr>
          <w:rFonts w:ascii="Book Antiqua" w:hAnsi="Book Antiqua"/>
          <w:sz w:val="24"/>
          <w:szCs w:val="20"/>
        </w:rPr>
        <w:t xml:space="preserve">, resulting in lower input costs. An understanding of demand and the relative costs of storage and ordering should also allow </w:t>
      </w:r>
      <w:r>
        <w:rPr>
          <w:rFonts w:ascii="Book Antiqua" w:hAnsi="Book Antiqua"/>
          <w:sz w:val="24"/>
          <w:szCs w:val="20"/>
        </w:rPr>
        <w:t>Boss</w:t>
      </w:r>
      <w:r w:rsidRPr="00BA4141">
        <w:rPr>
          <w:rFonts w:ascii="Book Antiqua" w:hAnsi="Book Antiqua"/>
          <w:sz w:val="24"/>
          <w:szCs w:val="20"/>
        </w:rPr>
        <w:t xml:space="preserve"> to implement systems that optimise order quantities (the EOQ model).</w:t>
      </w:r>
    </w:p>
    <w:p w:rsidR="00AB0EB4" w:rsidRPr="00BA4141" w:rsidRDefault="00AB0EB4" w:rsidP="00AB0EB4">
      <w:pPr>
        <w:tabs>
          <w:tab w:val="left" w:pos="3645"/>
        </w:tabs>
        <w:ind w:left="720"/>
        <w:jc w:val="both"/>
        <w:rPr>
          <w:rFonts w:ascii="Book Antiqua" w:hAnsi="Book Antiqua"/>
          <w:b/>
          <w:sz w:val="24"/>
          <w:szCs w:val="20"/>
        </w:rPr>
      </w:pPr>
      <w:r w:rsidRPr="00BA4141">
        <w:rPr>
          <w:rFonts w:ascii="Book Antiqua" w:hAnsi="Book Antiqua"/>
          <w:b/>
          <w:sz w:val="24"/>
          <w:szCs w:val="20"/>
        </w:rPr>
        <w:t>Downstream supply chain solutions</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Downstream supply to customers is relatively simple as there are no intermediaries, as the company supplies directly to the consumer. However, evidence suggests that some consumers are relatively disaffected. A further challenge cited by Dave Chaffey is relevant here, the need to improve aftersales/post-sales operations (service on the value chain). The company alsoneeds to consider the costs of finished goods storage (outbound logistics), distribution to customers (outbound logistics).Furthermore, although processing orders is relatively effective, customers feel uninformed in the period between orderplacement and order fulfilment.</w:t>
      </w:r>
    </w:p>
    <w:p w:rsidR="00AB0EB4" w:rsidRPr="00B51CF7" w:rsidRDefault="00AB0EB4" w:rsidP="00AB0EB4">
      <w:pPr>
        <w:tabs>
          <w:tab w:val="left" w:pos="3645"/>
        </w:tabs>
        <w:ind w:left="720"/>
        <w:jc w:val="both"/>
        <w:rPr>
          <w:rFonts w:ascii="Book Antiqua" w:hAnsi="Book Antiqua"/>
          <w:b/>
          <w:sz w:val="24"/>
          <w:szCs w:val="20"/>
        </w:rPr>
      </w:pPr>
      <w:r w:rsidRPr="00B51CF7">
        <w:rPr>
          <w:rFonts w:ascii="Book Antiqua" w:hAnsi="Book Antiqua"/>
          <w:b/>
          <w:sz w:val="24"/>
          <w:szCs w:val="20"/>
        </w:rPr>
        <w:t>Some technological solutions here might include:</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 xml:space="preserve">To introduce technology to support the planning and co-ordinating of deliveries so that delivery vans are used more efficientlyand effectively. This might simultaneously increase the likelihood of customers being at home to receive deliveries. Theproducts being delivered are bulky and valuable and so it is vital that someone is available at the delivery address to receivethem. Failed deliveries are running at 30%, and this leads to increased inventory holding costs </w:t>
      </w:r>
      <w:r w:rsidRPr="00BA4141">
        <w:rPr>
          <w:rFonts w:ascii="Book Antiqua" w:hAnsi="Book Antiqua"/>
          <w:sz w:val="24"/>
          <w:szCs w:val="20"/>
        </w:rPr>
        <w:lastRenderedPageBreak/>
        <w:t>associated with storing thereturned item at the warehouse, higher administrative costs of arranging a re-delivery and extra costs of actually making thatre-delivery. Technology could be used to improve van utilisation (route planning software) as well as increasing the chanceof a customer being at home (automated emails to the customer, automated text messages confirming delivery that day,perhaps confirming likely delivery time).</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Part of the delivery problem is caused by the failure to continually inform customers about the progress of their order. Theprocessing and payment for the goods appears to go quite smoothly and an estimated delivery date is given to the customerat the time of order. However, the customer receives no further information until an actual delivery date is confirmed bytelephone less than one week before the planned delivery. Many actual delivery dates are not the same as the originalestimated delivery date because of procurement issues. Some customers cannot make this new date (often after keeping theoriginal date free) and so a new date has to be negotiated (an administration cost) and this often leads to the finished productbeing stored for longer (increasing inventory cost). An IT system that allows the customer to track their orders; updates likelydelivery dates as they become available and gives the customer some feeling of progress and involvement would increasecustomer satisfaction and, by increasing the chance of achieving target delivery dates, reduce inventory cost and otherexpenses.</w:t>
      </w:r>
    </w:p>
    <w:p w:rsidR="00AB0EB4" w:rsidRPr="00BA4141" w:rsidRDefault="00AB0EB4" w:rsidP="00AB0EB4">
      <w:pPr>
        <w:tabs>
          <w:tab w:val="left" w:pos="3645"/>
        </w:tabs>
        <w:ind w:left="720"/>
        <w:jc w:val="both"/>
        <w:rPr>
          <w:rFonts w:ascii="Book Antiqua" w:hAnsi="Book Antiqua"/>
          <w:sz w:val="24"/>
          <w:szCs w:val="20"/>
        </w:rPr>
      </w:pPr>
      <w:r w:rsidRPr="00BA4141">
        <w:rPr>
          <w:rFonts w:ascii="Book Antiqua" w:hAnsi="Book Antiqua"/>
          <w:sz w:val="24"/>
          <w:szCs w:val="20"/>
        </w:rPr>
        <w:t>Customers have also complained about the absence of after-sales service. Using technology to provide answers to frequentlyasked questions (how do I get stains out of the upholstery), make and handle complaints and order replacement materials(particularly textiles) would appear to be beneficial. Service should help retain customers. Newsletters, special offers forestablished customers and targeted emails should also boost customer retention.</w:t>
      </w:r>
    </w:p>
    <w:p w:rsidR="00AB0EB4" w:rsidRDefault="00AB0EB4" w:rsidP="00AB0EB4">
      <w:pPr>
        <w:spacing w:after="240"/>
        <w:ind w:right="-705" w:hanging="567"/>
        <w:contextualSpacing/>
        <w:rPr>
          <w:rFonts w:asciiTheme="majorBidi" w:hAnsiTheme="majorBidi" w:cstheme="majorBidi"/>
          <w:sz w:val="24"/>
          <w:szCs w:val="24"/>
        </w:rPr>
      </w:pPr>
    </w:p>
    <w:p w:rsidR="00AB0EB4" w:rsidRDefault="00AB0EB4" w:rsidP="00AB0EB4">
      <w:pPr>
        <w:spacing w:after="240"/>
        <w:ind w:right="-705" w:hanging="567"/>
        <w:contextualSpacing/>
        <w:rPr>
          <w:rFonts w:asciiTheme="majorBidi" w:hAnsiTheme="majorBidi" w:cstheme="majorBidi"/>
          <w:sz w:val="24"/>
          <w:szCs w:val="24"/>
        </w:rPr>
      </w:pP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Question</w:t>
      </w:r>
      <w:r>
        <w:rPr>
          <w:rFonts w:ascii="Book Antiqua" w:hAnsi="Book Antiqua"/>
          <w:b/>
          <w:sz w:val="24"/>
          <w:szCs w:val="20"/>
        </w:rPr>
        <w:t xml:space="preserve"> No </w:t>
      </w:r>
      <w:r w:rsidR="00670160">
        <w:rPr>
          <w:rFonts w:ascii="Book Antiqua" w:hAnsi="Book Antiqua"/>
          <w:b/>
          <w:sz w:val="24"/>
          <w:szCs w:val="20"/>
        </w:rPr>
        <w:t>5</w:t>
      </w:r>
      <w:r w:rsidRPr="00BA4141">
        <w:rPr>
          <w:rFonts w:ascii="Book Antiqua" w:hAnsi="Book Antiqua"/>
          <w:b/>
          <w:sz w:val="24"/>
          <w:szCs w:val="20"/>
        </w:rPr>
        <w:t>:-</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Strategic Planning and Management is an exercise undertaken at the highest levels of the management hierarchy and involves decisions concerning formulation, implementation and evaluation of cross-functional activities which would enable an organization to achieve its stated objectives. In spite of the cumulative skills and considerable experience of the senior management team, it has been observed that a number of organizations are not able to achieve significant success and the actual performance often falls short of the set goals.</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Explain the key factors, which in your opinion, are responsible for the management’s inability to achieve all of the goals envisaged in the Strategic Plans.</w:t>
      </w: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Answer:-</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The key factors which contribute towards the achievement of only a limited number of goals envisaged in the Strategic Plans are:</w:t>
      </w:r>
    </w:p>
    <w:p w:rsidR="00AB0EB4" w:rsidRPr="00BA4141" w:rsidRDefault="00AB0EB4" w:rsidP="00387FB1">
      <w:pPr>
        <w:pStyle w:val="ListParagraph"/>
        <w:widowControl/>
        <w:numPr>
          <w:ilvl w:val="0"/>
          <w:numId w:val="12"/>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lastRenderedPageBreak/>
        <w:t>Inadequate understanding of the strategic plans and failure at the business and functional levels to realize that sustained and coordinated efforts are required to achieve the goals.</w:t>
      </w:r>
    </w:p>
    <w:p w:rsidR="00AB0EB4" w:rsidRPr="00BA4141" w:rsidRDefault="00AB0EB4" w:rsidP="00387FB1">
      <w:pPr>
        <w:pStyle w:val="ListParagraph"/>
        <w:widowControl/>
        <w:numPr>
          <w:ilvl w:val="0"/>
          <w:numId w:val="12"/>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Poor allocation of resources, organizational as well as human. Lack of support from the management in providing adequate resources for the achievement of the goals set in the strategic plans.</w:t>
      </w:r>
    </w:p>
    <w:p w:rsidR="00AB0EB4" w:rsidRPr="00BA4141" w:rsidRDefault="00AB0EB4" w:rsidP="00387FB1">
      <w:pPr>
        <w:pStyle w:val="ListParagraph"/>
        <w:widowControl/>
        <w:numPr>
          <w:ilvl w:val="0"/>
          <w:numId w:val="12"/>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Weak organizational culture, leading to lack of involvement of the management at the business and operational levels who feel that they are not on board in the strategic planning exercise and therefore there is lack of “ownership” of the plans and goals from their side.</w:t>
      </w:r>
    </w:p>
    <w:p w:rsidR="00AB0EB4" w:rsidRPr="00BA4141" w:rsidRDefault="00AB0EB4" w:rsidP="00387FB1">
      <w:pPr>
        <w:pStyle w:val="ListParagraph"/>
        <w:widowControl/>
        <w:numPr>
          <w:ilvl w:val="0"/>
          <w:numId w:val="12"/>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Consideration of the strategic planning as a ritual exercise and not as a day-to-day sustained effort for achievement of the objectives of the plan, indifferent attitude and lack of commitment and motivation on the part of the line managers towards the achievement of the goals.</w:t>
      </w:r>
    </w:p>
    <w:p w:rsidR="00AB0EB4" w:rsidRPr="00BA4141" w:rsidRDefault="00AB0EB4" w:rsidP="00387FB1">
      <w:pPr>
        <w:pStyle w:val="ListParagraph"/>
        <w:widowControl/>
        <w:numPr>
          <w:ilvl w:val="0"/>
          <w:numId w:val="12"/>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Poor Communication and lack of coordination between the top, middle and operational level of management leading to poor goal definitions and unawareness of the departments role in achieving the goal.</w:t>
      </w:r>
    </w:p>
    <w:p w:rsidR="00AB0EB4" w:rsidRPr="00BA4141" w:rsidRDefault="00AB0EB4" w:rsidP="00387FB1">
      <w:pPr>
        <w:pStyle w:val="ListParagraph"/>
        <w:widowControl/>
        <w:numPr>
          <w:ilvl w:val="0"/>
          <w:numId w:val="12"/>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Pre-occupation of the operational level managers with the achievement of their short-term targets and lack of awareness of the contribution of their own efforts towards achievement of the overall objectives.</w:t>
      </w:r>
    </w:p>
    <w:p w:rsidR="00AB0EB4" w:rsidRPr="00BA4141" w:rsidRDefault="00AB0EB4" w:rsidP="00387FB1">
      <w:pPr>
        <w:pStyle w:val="ListParagraph"/>
        <w:widowControl/>
        <w:numPr>
          <w:ilvl w:val="0"/>
          <w:numId w:val="12"/>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Inability to integrate and coordinate the various functions of research and development, HR management, procurement, production, marketing and finance with the result that these activities are working independently and at cross purposes.</w:t>
      </w:r>
    </w:p>
    <w:p w:rsidR="00AB0EB4" w:rsidRPr="00BA4141" w:rsidRDefault="00AB0EB4" w:rsidP="00387FB1">
      <w:pPr>
        <w:pStyle w:val="ListParagraph"/>
        <w:widowControl/>
        <w:numPr>
          <w:ilvl w:val="0"/>
          <w:numId w:val="12"/>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Absence of a proper system to measure actual performance from time-to-time and compare the results with the targets to take timely corrective measures in the event of any new development or unfavorable variances.</w:t>
      </w:r>
    </w:p>
    <w:p w:rsidR="00AB0EB4" w:rsidRDefault="00AB0EB4" w:rsidP="00AB0EB4">
      <w:pPr>
        <w:spacing w:after="240"/>
        <w:ind w:right="-705" w:hanging="567"/>
        <w:contextualSpacing/>
        <w:rPr>
          <w:rFonts w:asciiTheme="majorBidi" w:hAnsiTheme="majorBidi" w:cstheme="majorBidi"/>
          <w:sz w:val="24"/>
          <w:szCs w:val="24"/>
        </w:rPr>
      </w:pPr>
    </w:p>
    <w:p w:rsidR="00AB0EB4" w:rsidRDefault="00AB0EB4" w:rsidP="00AB0EB4">
      <w:pPr>
        <w:spacing w:after="240"/>
        <w:ind w:right="-705" w:hanging="567"/>
        <w:contextualSpacing/>
        <w:rPr>
          <w:rFonts w:asciiTheme="majorBidi" w:hAnsiTheme="majorBidi" w:cstheme="majorBidi"/>
          <w:sz w:val="24"/>
          <w:szCs w:val="24"/>
        </w:rPr>
      </w:pP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impossible. This needs to be addressed.</w:t>
      </w: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Question</w:t>
      </w:r>
      <w:r>
        <w:rPr>
          <w:rFonts w:ascii="Book Antiqua" w:hAnsi="Book Antiqua"/>
          <w:b/>
          <w:sz w:val="24"/>
          <w:szCs w:val="20"/>
        </w:rPr>
        <w:t xml:space="preserve"> No </w:t>
      </w:r>
      <w:r w:rsidR="00670160">
        <w:rPr>
          <w:rFonts w:ascii="Book Antiqua" w:hAnsi="Book Antiqua"/>
          <w:b/>
          <w:sz w:val="24"/>
          <w:szCs w:val="20"/>
        </w:rPr>
        <w:t>6</w:t>
      </w:r>
      <w:r w:rsidRPr="00BA4141">
        <w:rPr>
          <w:rFonts w:ascii="Book Antiqua" w:hAnsi="Book Antiqua"/>
          <w:b/>
          <w:sz w:val="24"/>
          <w:szCs w:val="20"/>
        </w:rPr>
        <w:t>:-</w:t>
      </w: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Introduction</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 xml:space="preserve">Flexipipe is a successful company supplying flexible pipes to a wide range of industries. Its success is based on a very innovative production process which allows the company to produce relatively small batches of flexible pipes at very competitive prices. This has given Flexipipe a significant competitive edge over most of its competitors whose batch set-up costs are higher and whose lead times are longer. Flexipipe’s innovative process is partly automated and partly reliant on experienced managers and supervisors on the </w:t>
      </w:r>
      <w:r w:rsidRPr="00BA4141">
        <w:rPr>
          <w:rFonts w:ascii="Book Antiqua" w:hAnsi="Book Antiqua"/>
          <w:sz w:val="24"/>
          <w:szCs w:val="20"/>
        </w:rPr>
        <w:lastRenderedPageBreak/>
        <w:t>factory floor. These managers efficiently schedule jobs from different customers to achieve economies of scale and throughput times that profitably deliver high quality products and service to Flexipipe’s customers.</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A year ago, the Chief Executive Officer (CEO) at Flexipipe decided that he wanted to extend the automated part of the production process by purchasing a software package that promised even further benefits, including the automation of some of the decision-making tasks currently undertaken by the factory managers and supervisors. He had seen this package at a software exhibition and was so impressed that he placed an order immediately. He stated that the package was ‘ahead of its time, and I have seen nothing else like it on the market’.</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This was the first time that the company had bought a software package for something that was not to be used in a standard application, such as payroll or accounts. Most other software applications in the company, such as the automated part of the current production process, have been developed in-house by a small programming team. The CEO felt that there was, on this occasion, insufficient time and money to develop a bespoke in-house solution. He accepted that there was no formal process for software package procurement ‘but perhaps we can put one in place as this project progresses’.</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This relaxed approach to procurement is not unusual at Flexipipe, where many of the purchasing decisions are taken unilaterally by senior managers. There is a small procurement section with two full-time administrators, but they only become involved once purchasing decisions have been made. It is felt that they are not technically proficient enough to get involved earlier in the purchasing lifecycle and, in any case, they are already very busy with purchase order administration and accounts payable. This approach to procurement has caused problems in the past. For example, the company had problems when a key supplier of raw materials unexpectedly went out of business. This caused short-term production problems, although the CEO has now found an acceptable alternative supplier.</w:t>
      </w: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The automation project</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On returning to the company from the exhibition, the CEO commissioned a business analyst to investigate the current production process system so that the transition from the current system to the new software package solution could be properly planned. The business analyst found that some of the decisions made in the current production process were difficult to define and it was often hard for managers to explain how they had taken effective action. They tended to use their experience, memory and judgement and were still innovating in their control of the process. One commented that ‘what we do today, we might not do tomorrow; requirements are constantly evolving’.</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 xml:space="preserve">When the software package was delivered there were immediate difficulties in technically migrating some of the data from the current automated part of the production process software to the software package solution. However, after some difficulties, it was possible to hold trials with experienced users. The CEO was confident that these users did not need training and would be ‘able to learn the software as they went along’. However, in reality, they found the software very difficult to use and they reported that certain key functions were missing. One of the supervisors commented that ‘the monitoring process variance facility is missing completely. Yet we </w:t>
      </w:r>
      <w:r w:rsidRPr="00BA4141">
        <w:rPr>
          <w:rFonts w:ascii="Book Antiqua" w:hAnsi="Book Antiqua"/>
          <w:sz w:val="24"/>
          <w:szCs w:val="20"/>
        </w:rPr>
        <w:lastRenderedPageBreak/>
        <w:t>had this in the old automated system’. Despite these reservations, the software package solution was implemented, but results were disappointing. Overall, it was impossible to replicate the success of the old production process and early results showed that costs had increased and lead times had become longer.</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After struggling with the system for a few months, support from the software supplier began to become erratic. Eventually, the supplier notified Flexipipe that it had gone into administration and that it was withdrawing support for its product. Fortunately, Flexipipe were able to revert to the original production process software, but the ill-fated package selection exercise had cost it over $3m in costs and lost profits. The CEO commissioned a post-project review which showed that the supplier, prior to the purchase of the software package, had been very highly geared and had very poor liquidity. Also, contrary to the statement of the CEO, the post-project review team reported that there were at least three other packages currently available in the market that could have potentially fulfilled the requirements of the company. The CEO now accepts that using a software package to automate the production process was an inappropriate approach and that a bespoke in-house solution should have been commissioned.</w:t>
      </w: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Required:</w:t>
      </w:r>
    </w:p>
    <w:p w:rsidR="00AB0EB4" w:rsidRPr="00BA4141" w:rsidRDefault="00AB0EB4" w:rsidP="00387FB1">
      <w:pPr>
        <w:pStyle w:val="ListParagraph"/>
        <w:widowControl/>
        <w:numPr>
          <w:ilvl w:val="0"/>
          <w:numId w:val="13"/>
        </w:numPr>
        <w:tabs>
          <w:tab w:val="left" w:pos="3645"/>
        </w:tabs>
        <w:spacing w:after="200" w:line="276" w:lineRule="auto"/>
        <w:contextualSpacing/>
        <w:jc w:val="both"/>
        <w:rPr>
          <w:rFonts w:ascii="Book Antiqua" w:hAnsi="Book Antiqua"/>
          <w:b/>
          <w:sz w:val="24"/>
          <w:szCs w:val="20"/>
        </w:rPr>
      </w:pPr>
      <w:r w:rsidRPr="00BA4141">
        <w:rPr>
          <w:rFonts w:ascii="Book Antiqua" w:hAnsi="Book Antiqua"/>
          <w:b/>
          <w:sz w:val="24"/>
          <w:szCs w:val="20"/>
        </w:rPr>
        <w:t xml:space="preserve">Critically evaluate the decision made by the CEO to use a software package approach to automating the production process at Flexipipe, and explain why this approach was unlikely to succeed. </w:t>
      </w:r>
    </w:p>
    <w:p w:rsidR="00AB0EB4" w:rsidRPr="00BA4141" w:rsidRDefault="00AB0EB4" w:rsidP="00387FB1">
      <w:pPr>
        <w:pStyle w:val="ListParagraph"/>
        <w:widowControl/>
        <w:numPr>
          <w:ilvl w:val="0"/>
          <w:numId w:val="13"/>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The CEO recommends that the company now adopts a formal process for procuring, evaluating and implementing software packages which they can use in the future when a software package approach appears to be more appropriate.</w:t>
      </w:r>
    </w:p>
    <w:p w:rsidR="00AB0EB4" w:rsidRPr="00BA4141" w:rsidRDefault="00AB0EB4" w:rsidP="00AB0EB4">
      <w:pPr>
        <w:tabs>
          <w:tab w:val="left" w:pos="3645"/>
        </w:tabs>
        <w:ind w:left="720"/>
        <w:jc w:val="both"/>
        <w:rPr>
          <w:rFonts w:ascii="Book Antiqua" w:hAnsi="Book Antiqua"/>
          <w:b/>
          <w:sz w:val="24"/>
          <w:szCs w:val="20"/>
        </w:rPr>
      </w:pPr>
      <w:r w:rsidRPr="00BA4141">
        <w:rPr>
          <w:rFonts w:ascii="Book Antiqua" w:hAnsi="Book Antiqua"/>
          <w:b/>
          <w:sz w:val="24"/>
          <w:szCs w:val="20"/>
        </w:rPr>
        <w:t>Analyse how a formal process for software package procurement, evaluation and implementation would have addressed the problems experienced at Flexipipe in the production process project.</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Answer:-</w:t>
      </w:r>
    </w:p>
    <w:p w:rsidR="00AB0EB4" w:rsidRPr="00BA4141" w:rsidRDefault="00AB0EB4" w:rsidP="00387FB1">
      <w:pPr>
        <w:pStyle w:val="ListParagraph"/>
        <w:widowControl/>
        <w:numPr>
          <w:ilvl w:val="0"/>
          <w:numId w:val="14"/>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A critical evaluation of using the software package approach at Flexipipe could be structured around three factors. The first concerns the wisdom of using a package solution for a process where the company enjoys a competitive edge over its competitors. The second factor focuses on the difficulties of selecting an appropriate package in an environment where requirements are difficult to define and are still subject to change. The final factor revolves around the problem of successfully procuring a software package in an organisation which lacks both experience and a process for selecting and procuring a nonstandard software application. Each of these factors is now considered in turn. Other appropriate factors and relevant approaches will be given credit.</w:t>
      </w:r>
    </w:p>
    <w:p w:rsidR="00AB0EB4" w:rsidRPr="00BA4141" w:rsidRDefault="00AB0EB4" w:rsidP="00AB0EB4">
      <w:pPr>
        <w:pStyle w:val="ListParagraph"/>
        <w:tabs>
          <w:tab w:val="left" w:pos="3645"/>
        </w:tabs>
        <w:jc w:val="both"/>
        <w:rPr>
          <w:rFonts w:ascii="Book Antiqua" w:hAnsi="Book Antiqua"/>
          <w:sz w:val="24"/>
          <w:szCs w:val="20"/>
        </w:rPr>
      </w:pPr>
    </w:p>
    <w:p w:rsidR="00AB0EB4" w:rsidRPr="00BA4141" w:rsidRDefault="00AB0EB4" w:rsidP="00AB0EB4">
      <w:pPr>
        <w:pStyle w:val="ListParagraph"/>
        <w:tabs>
          <w:tab w:val="left" w:pos="3645"/>
        </w:tabs>
        <w:jc w:val="both"/>
        <w:rPr>
          <w:rFonts w:ascii="Book Antiqua" w:hAnsi="Book Antiqua"/>
          <w:b/>
          <w:sz w:val="24"/>
          <w:szCs w:val="20"/>
        </w:rPr>
      </w:pPr>
      <w:r w:rsidRPr="00BA4141">
        <w:rPr>
          <w:rFonts w:ascii="Book Antiqua" w:hAnsi="Book Antiqua"/>
          <w:b/>
          <w:sz w:val="24"/>
          <w:szCs w:val="20"/>
        </w:rPr>
        <w:t>Competitive edge</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It is generally accepted that software package solutions cannot provide organisations </w:t>
      </w:r>
      <w:r w:rsidRPr="00BA4141">
        <w:rPr>
          <w:rFonts w:ascii="Book Antiqua" w:hAnsi="Book Antiqua"/>
          <w:sz w:val="24"/>
          <w:szCs w:val="20"/>
        </w:rPr>
        <w:lastRenderedPageBreak/>
        <w:t>with a competitive edge. By definition such packages are available to all companies in a sector or market and so any commercial advantages offered by the package are available to all organisations competing in that market.</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It is recognised that the control of the production process at Flexipipe was very innovative. It provided the company with significant competitive edge over their competitors. For this reason, it seemed unlikely from the start that Flexipipe would find a package that fulfilled its exact requirements and that any selected package would constrain the production process. Indeed, this is what happened, with the new system unable to replicate the flexibility and efficiency of the existing one.</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Initially, the company would have been advised to consider the location of the process on the Harmon process/strategy grid. The process is strategically important and relatively complex. Software package solutions should primarily be considered for reasonably straightforward commodity processes which have low strategic importance to the company, such as payroll and accounts. Thus, in the context of Flexipipe, a bespoke software solution would, from the outset, appear to have been more appropriate.</w:t>
      </w:r>
    </w:p>
    <w:p w:rsidR="00AB0EB4" w:rsidRPr="00BA4141" w:rsidRDefault="00AB0EB4" w:rsidP="00AB0EB4">
      <w:pPr>
        <w:pStyle w:val="ListParagraph"/>
        <w:tabs>
          <w:tab w:val="left" w:pos="3645"/>
        </w:tabs>
        <w:jc w:val="both"/>
        <w:rPr>
          <w:rFonts w:ascii="Book Antiqua" w:hAnsi="Book Antiqua"/>
          <w:sz w:val="24"/>
          <w:szCs w:val="20"/>
        </w:rPr>
      </w:pPr>
    </w:p>
    <w:p w:rsidR="00AB0EB4" w:rsidRPr="00BA4141" w:rsidRDefault="00AB0EB4" w:rsidP="00AB0EB4">
      <w:pPr>
        <w:pStyle w:val="ListParagraph"/>
        <w:tabs>
          <w:tab w:val="left" w:pos="3645"/>
        </w:tabs>
        <w:jc w:val="both"/>
        <w:rPr>
          <w:rFonts w:ascii="Book Antiqua" w:hAnsi="Book Antiqua"/>
          <w:b/>
          <w:sz w:val="24"/>
          <w:szCs w:val="20"/>
        </w:rPr>
      </w:pPr>
      <w:r w:rsidRPr="00BA4141">
        <w:rPr>
          <w:rFonts w:ascii="Book Antiqua" w:hAnsi="Book Antiqua"/>
          <w:b/>
          <w:sz w:val="24"/>
          <w:szCs w:val="20"/>
        </w:rPr>
        <w:t>Complexity and nature of requirements</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It was recognised from the start that it was relatively difficult to specify all the requirements of the production process in advance because many decisions were intuitively taken by experienced managers and supervisors on the factory floor. It was often difficult for them to explain why they had taken certain effective decisions. It is very risky to select a software package against incomplete or unarticulated requirements. If significant requirements are missed or misunderstood then it is difficult to address the problems this might cause.</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There are at least three potential approaches to addressing the problem of the software failing to fulfil requirements, but each of these has disadvantages. The first approach is to ask the software vendor to integrate these requirements into the next release of the package. However, even if the software vendor agrees, it may be a costly solution as well as allowing such innovations to become available to all users of the package. The second approach is to ask the software vendor to build a tailored version of the application to fulfil specific requirements. This is likely to be expensive (so reducing the cost advantages of buying a package) and cause long-term maintenance problems and costs as the tailored version has to be integrated with new releases of the standard software package. The final approach is to seek a manual work-around for the missing requirements. However, this may also be costly as well as reducing the business benefits which should have been obtained. Whichever approach is taken, it is likely to either reduce the benefits or increase the costs of adopting a software package solution.</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It was also recognised that requirements are likely to change in the long term. There is no guarantee that the software vendor will develop the package to fit newly emerging requirements and so the issues of tailoring and work-around will again have to be considered. Most package selection takes place against current requirements and so this approach is well-suited to circumstances where requirements rarely change and, if they do, they are specified by legislative bodies and the software vendors must make the </w:t>
      </w:r>
      <w:r w:rsidRPr="00BA4141">
        <w:rPr>
          <w:rFonts w:ascii="Book Antiqua" w:hAnsi="Book Antiqua"/>
          <w:sz w:val="24"/>
          <w:szCs w:val="20"/>
        </w:rPr>
        <w:lastRenderedPageBreak/>
        <w:t>changes to keep their product compliant. Payroll and integrated accounts applications are typical of this. Applications that are subject to long-term changes (such as the production process at Flexipipe) and do not require legislative compliance, are less appropriate to this approach.</w:t>
      </w:r>
    </w:p>
    <w:p w:rsidR="00AB0EB4" w:rsidRPr="00BA4141" w:rsidRDefault="00AB0EB4" w:rsidP="00AB0EB4">
      <w:pPr>
        <w:pStyle w:val="ListParagraph"/>
        <w:tabs>
          <w:tab w:val="left" w:pos="3645"/>
        </w:tabs>
        <w:jc w:val="both"/>
        <w:rPr>
          <w:rFonts w:ascii="Book Antiqua" w:hAnsi="Book Antiqua"/>
          <w:sz w:val="24"/>
          <w:szCs w:val="20"/>
        </w:rPr>
      </w:pPr>
    </w:p>
    <w:p w:rsidR="00AB0EB4" w:rsidRDefault="00AB0EB4" w:rsidP="00AB0EB4">
      <w:pPr>
        <w:pStyle w:val="ListParagraph"/>
        <w:tabs>
          <w:tab w:val="left" w:pos="3645"/>
        </w:tabs>
        <w:jc w:val="both"/>
        <w:rPr>
          <w:rFonts w:ascii="Book Antiqua" w:hAnsi="Book Antiqua"/>
          <w:b/>
          <w:sz w:val="24"/>
          <w:szCs w:val="20"/>
        </w:rPr>
      </w:pPr>
    </w:p>
    <w:p w:rsidR="00AB0EB4" w:rsidRPr="00BA4141" w:rsidRDefault="00AB0EB4" w:rsidP="00AB0EB4">
      <w:pPr>
        <w:pStyle w:val="ListParagraph"/>
        <w:tabs>
          <w:tab w:val="left" w:pos="3645"/>
        </w:tabs>
        <w:jc w:val="both"/>
        <w:rPr>
          <w:rFonts w:ascii="Book Antiqua" w:hAnsi="Book Antiqua"/>
          <w:b/>
          <w:sz w:val="24"/>
          <w:szCs w:val="20"/>
        </w:rPr>
      </w:pPr>
      <w:r w:rsidRPr="00BA4141">
        <w:rPr>
          <w:rFonts w:ascii="Book Antiqua" w:hAnsi="Book Antiqua"/>
          <w:b/>
          <w:sz w:val="24"/>
          <w:szCs w:val="20"/>
        </w:rPr>
        <w:t>Absence of mature procurement process and management expertise</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It was recognised from the outset that Flexipipe did not have an established process for software package selection and implementation. This was a very risky project in which to try and establish a process and select an appropriate package. Lack of procurement expertise in general has been a problem in the past for the company when a key supplier of raw materials for the pipes went out of business. This caused short-term production problems, although an alternative supplier had eventually been found. However, procurement still only employs two people full-time and they are relatively junior and overworked. The company appears to have a very immature procurement process.</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The long-term commitment to an external supplier is very problematic in software supply, where moving formerly in-house applications to a new supplier can be technically difficult, expensive and disruptive. In general, there are significant risks associated with the long-term viability of software suppliers and the maintenance of software applications that are critical to the company. Companies go out of business, as in the case study scenario, and companies are sold. It is feasible that a software supplier might be bought by a competitor of Flexipipe, threatening long-term supply. These problems are largely absent in bespoke development, particularly if this development is undertaken in-house. The software program code belongs to the company (not the supplier) and its long-term development is under its control.</w:t>
      </w:r>
    </w:p>
    <w:p w:rsidR="00AB0EB4" w:rsidRPr="00BA4141" w:rsidRDefault="00AB0EB4" w:rsidP="00AB0EB4">
      <w:pPr>
        <w:pStyle w:val="ListParagraph"/>
        <w:tabs>
          <w:tab w:val="left" w:pos="3645"/>
        </w:tabs>
        <w:jc w:val="both"/>
        <w:rPr>
          <w:rFonts w:ascii="Book Antiqua" w:hAnsi="Book Antiqua"/>
          <w:sz w:val="24"/>
          <w:szCs w:val="20"/>
        </w:rPr>
      </w:pPr>
    </w:p>
    <w:p w:rsidR="00AB0EB4" w:rsidRPr="00BA4141" w:rsidRDefault="00AB0EB4" w:rsidP="00387FB1">
      <w:pPr>
        <w:pStyle w:val="ListParagraph"/>
        <w:widowControl/>
        <w:numPr>
          <w:ilvl w:val="0"/>
          <w:numId w:val="14"/>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In the context of the Flexipipe project, here are some of the issues that could have been addressed by a formal software package evaluation process. It is important that candidates identify elements of the process relevant to the Flexipipe scenario. A generic evaluation process is insufficient.</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i/>
          <w:sz w:val="24"/>
          <w:szCs w:val="20"/>
        </w:rPr>
        <w:t>The business case for all software procurement projects should be assessed to see if a package is an appropriate solution</w:t>
      </w:r>
      <w:r w:rsidRPr="00BA4141">
        <w:rPr>
          <w:rFonts w:ascii="Book Antiqua" w:hAnsi="Book Antiqua"/>
          <w:sz w:val="24"/>
          <w:szCs w:val="20"/>
        </w:rPr>
        <w:t>.In some instances a bespoke IT development may be better suited. As mentioned in the answer to the first part of thisquestion, the Harmon grid considers process complexity and strategic importance and it could have been used as a guide toassessing the appropriateness of the software package solution approach. If it had been used at Flexipipe then it seems likelythat the software package approach would have been abandoned at an early stage of the project.</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i/>
          <w:sz w:val="24"/>
          <w:szCs w:val="20"/>
        </w:rPr>
        <w:t>The requirements must be carefully and comprehensively specified before embarking on a procurement exercise</w:t>
      </w:r>
      <w:r w:rsidRPr="00BA4141">
        <w:rPr>
          <w:rFonts w:ascii="Book Antiqua" w:hAnsi="Book Antiqua"/>
          <w:sz w:val="24"/>
          <w:szCs w:val="20"/>
        </w:rPr>
        <w:t xml:space="preserve">. Difficultieswith specifying requirements may again lead to a re-consideration of the bespoke approach. In the case study scenario,mention is made of the system failing to fulfil a number of functional requirements, such as monitoring process variance. Theinference is that these requirements were either not specified or </w:t>
      </w:r>
      <w:r w:rsidRPr="00BA4141">
        <w:rPr>
          <w:rFonts w:ascii="Book Antiqua" w:hAnsi="Book Antiqua"/>
          <w:sz w:val="24"/>
          <w:szCs w:val="20"/>
        </w:rPr>
        <w:lastRenderedPageBreak/>
        <w:t>were incorrectly specified in advance and so were not partof the package assessment. Similarly, problems with ‘usability’ may be due to the failure of defining specific usabilityrequirements in advance and so these were not considered when the package was evaluated.</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i/>
          <w:sz w:val="24"/>
          <w:szCs w:val="20"/>
        </w:rPr>
        <w:t>The tendering method has to be made more formal and competitive.</w:t>
      </w:r>
      <w:r w:rsidRPr="00BA4141">
        <w:rPr>
          <w:rFonts w:ascii="Book Antiqua" w:hAnsi="Book Antiqua"/>
          <w:sz w:val="24"/>
          <w:szCs w:val="20"/>
        </w:rPr>
        <w:t xml:space="preserve"> A post-project review has shown that there were at leastthree other packages which should have been considered in the evaluation process. A more formal process would have hada mechanism for finding these potential suppliers. The openness of the tendering process would also have been assisted byadvertising in trade magazines and internet tendering sites, which may have also brought forward other potential suppliers.This is an important step because it allows a transparency in the process, and avoids selecting a supplier purely on therecommendation of one internal employee: as in the case of Flexipipe. It would have avoided the situation of a package beingselected solely on the basis of a visit to an exhibition.</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i/>
          <w:sz w:val="24"/>
          <w:szCs w:val="20"/>
        </w:rPr>
        <w:t>Suppliers who submit tenders must be evaluated against criteria agreed in advance.</w:t>
      </w:r>
      <w:r w:rsidRPr="00BA4141">
        <w:rPr>
          <w:rFonts w:ascii="Book Antiqua" w:hAnsi="Book Antiqua"/>
          <w:sz w:val="24"/>
          <w:szCs w:val="20"/>
        </w:rPr>
        <w:t xml:space="preserve"> Buying a software package leads to along-term relationship between the supplier and the customer, so the latter must be comfortable with the supplier’scredentials. In the context of Flexipipe this would involve setting standard measures and minimum values for liquidity, gearingand profitability. There also has to be some way of off-setting the supplier’s suitability with the suitability of the product. Thatis, how a package with limited functionality from a well-established, financially sound supplier is evaluated against a morefunctional, usable package from a newly established company with high financial gearing and low turnover. The balancebetween such factors has to be established in advance, often using a high-level weighted matrix. In the context of thescenario, appropriate financial checks should have identified the high gearing and poor liquidity of the supplier that eventuallyled to its collapse.</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i/>
          <w:sz w:val="24"/>
          <w:szCs w:val="20"/>
        </w:rPr>
        <w:t>A proper process also needs to be in place to evaluate the potential solution against the specified requirements.</w:t>
      </w:r>
      <w:r w:rsidRPr="00BA4141">
        <w:rPr>
          <w:rFonts w:ascii="Book Antiqua" w:hAnsi="Book Antiqua"/>
          <w:sz w:val="24"/>
          <w:szCs w:val="20"/>
        </w:rPr>
        <w:t xml:space="preserve"> It isimportant to establish the ‘fit’ between the requirements and the potential solution and to use this ‘fit’ in the final selection.It has been stated elsewhere that it is unlikely that a package solution will exactly fulfil all requirements. However, if the ‘fit’is known and understood in advance then negotiation with users may lead to them dropping, modifying or finding workaroundfor these gaps. Perhaps some of the functional shortcomings identified by users might have been tolerated, if they hadbeen known and understood in advance.</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i/>
          <w:sz w:val="24"/>
          <w:szCs w:val="20"/>
        </w:rPr>
        <w:t>Finally, a planned implementation is an important part of the process.</w:t>
      </w:r>
      <w:r w:rsidRPr="00BA4141">
        <w:rPr>
          <w:rFonts w:ascii="Book Antiqua" w:hAnsi="Book Antiqua"/>
          <w:sz w:val="24"/>
          <w:szCs w:val="20"/>
        </w:rPr>
        <w:t xml:space="preserve"> Perhaps the lack of usability of the software was downto the absence of training and the belief that users could ‘to pick up the software as they go along’. This is a risky approach,even in circumstances even with experienced users and in a situation where the software product is a good fit with their requirements.</w:t>
      </w:r>
    </w:p>
    <w:p w:rsidR="00AB0EB4" w:rsidRDefault="00AB0EB4" w:rsidP="00AB0EB4">
      <w:pPr>
        <w:spacing w:after="240"/>
        <w:ind w:right="-705" w:hanging="567"/>
        <w:contextualSpacing/>
        <w:rPr>
          <w:rFonts w:asciiTheme="majorBidi" w:hAnsiTheme="majorBidi" w:cstheme="majorBidi"/>
          <w:sz w:val="24"/>
          <w:szCs w:val="24"/>
        </w:rPr>
      </w:pPr>
    </w:p>
    <w:p w:rsidR="00AB0EB4" w:rsidRDefault="00AB0EB4" w:rsidP="00AB0EB4">
      <w:pPr>
        <w:spacing w:after="240"/>
        <w:ind w:right="-705" w:hanging="567"/>
        <w:contextualSpacing/>
        <w:rPr>
          <w:rFonts w:asciiTheme="majorBidi" w:hAnsiTheme="majorBidi" w:cstheme="majorBidi"/>
          <w:sz w:val="24"/>
          <w:szCs w:val="24"/>
        </w:rPr>
      </w:pPr>
    </w:p>
    <w:p w:rsidR="00670160" w:rsidRDefault="00670160" w:rsidP="00AB0EB4">
      <w:pPr>
        <w:tabs>
          <w:tab w:val="left" w:pos="3645"/>
        </w:tabs>
        <w:jc w:val="both"/>
        <w:rPr>
          <w:rFonts w:ascii="Book Antiqua" w:hAnsi="Book Antiqua"/>
          <w:b/>
          <w:sz w:val="24"/>
          <w:szCs w:val="20"/>
        </w:rPr>
      </w:pPr>
    </w:p>
    <w:p w:rsidR="00670160" w:rsidRDefault="00670160" w:rsidP="00AB0EB4">
      <w:pPr>
        <w:tabs>
          <w:tab w:val="left" w:pos="3645"/>
        </w:tabs>
        <w:jc w:val="both"/>
        <w:rPr>
          <w:rFonts w:ascii="Book Antiqua" w:hAnsi="Book Antiqua"/>
          <w:b/>
          <w:sz w:val="24"/>
          <w:szCs w:val="20"/>
        </w:rPr>
      </w:pPr>
    </w:p>
    <w:p w:rsidR="00670160" w:rsidRDefault="00670160" w:rsidP="00AB0EB4">
      <w:pPr>
        <w:tabs>
          <w:tab w:val="left" w:pos="3645"/>
        </w:tabs>
        <w:jc w:val="both"/>
        <w:rPr>
          <w:rFonts w:ascii="Book Antiqua" w:hAnsi="Book Antiqua"/>
          <w:b/>
          <w:sz w:val="24"/>
          <w:szCs w:val="20"/>
        </w:rPr>
      </w:pPr>
    </w:p>
    <w:p w:rsidR="00670160" w:rsidRDefault="00670160" w:rsidP="00AB0EB4">
      <w:pPr>
        <w:tabs>
          <w:tab w:val="left" w:pos="3645"/>
        </w:tabs>
        <w:jc w:val="both"/>
        <w:rPr>
          <w:rFonts w:ascii="Book Antiqua" w:hAnsi="Book Antiqua"/>
          <w:b/>
          <w:sz w:val="24"/>
          <w:szCs w:val="20"/>
        </w:rPr>
      </w:pP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Question</w:t>
      </w:r>
      <w:r>
        <w:rPr>
          <w:rFonts w:ascii="Book Antiqua" w:hAnsi="Book Antiqua"/>
          <w:b/>
          <w:sz w:val="24"/>
          <w:szCs w:val="20"/>
        </w:rPr>
        <w:t xml:space="preserve"> No </w:t>
      </w:r>
      <w:r w:rsidR="00670160">
        <w:rPr>
          <w:rFonts w:ascii="Book Antiqua" w:hAnsi="Book Antiqua"/>
          <w:b/>
          <w:sz w:val="24"/>
          <w:szCs w:val="20"/>
        </w:rPr>
        <w:t>7</w:t>
      </w:r>
      <w:r w:rsidRPr="00BA4141">
        <w:rPr>
          <w:rFonts w:ascii="Book Antiqua" w:hAnsi="Book Antiqua"/>
          <w:b/>
          <w:sz w:val="24"/>
          <w:szCs w:val="20"/>
        </w:rPr>
        <w:t>:-</w:t>
      </w: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Introduction</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The country of Mahem is in a long and deep economic recession with unemployment at its highest since the country became an independent nation. In an attempt to stimulate the economy the government has launched a Private/Public investment policy where the government invests in capital projects with the aim of stimulating the involvement of private sector firms. The building of a new community centre in the industrial city of Tillo is an example of such an initiative. Community centres are central to the culture of Mahem. They are designed as places where people can meet socially, local organisations can hold conferences and meetings and farmers can sell their produce to the local community. The centres are seen as contributing to a vibrant community life. The community centre in Tillo is in a sprawling old building rented (at $12,000 per month) from a local landowner. The current community centre is also relatively energy inefficient.</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In 2010 a business case was put forward to build a new centre on local authority owned land on the outskirts of Tillo. The costs and benefits of the business case are shown in Figure 1. As required by the Private/Public investment policy the project showed payback during year four of the investment.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17"/>
        <w:gridCol w:w="1156"/>
        <w:gridCol w:w="1156"/>
        <w:gridCol w:w="1078"/>
        <w:gridCol w:w="1076"/>
        <w:gridCol w:w="1093"/>
      </w:tblGrid>
      <w:tr w:rsidR="00AB0EB4" w:rsidRPr="00BA4141" w:rsidTr="00AB0EB4">
        <w:tc>
          <w:tcPr>
            <w:tcW w:w="4017" w:type="dxa"/>
          </w:tcPr>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All figures in $</w:t>
            </w:r>
          </w:p>
        </w:tc>
        <w:tc>
          <w:tcPr>
            <w:tcW w:w="1156"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Year 1</w:t>
            </w:r>
          </w:p>
        </w:tc>
        <w:tc>
          <w:tcPr>
            <w:tcW w:w="1156"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Year 2</w:t>
            </w:r>
          </w:p>
        </w:tc>
        <w:tc>
          <w:tcPr>
            <w:tcW w:w="1078"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Year 3</w:t>
            </w:r>
          </w:p>
        </w:tc>
        <w:tc>
          <w:tcPr>
            <w:tcW w:w="1076"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Year 4</w:t>
            </w:r>
          </w:p>
        </w:tc>
        <w:tc>
          <w:tcPr>
            <w:tcW w:w="1093" w:type="dxa"/>
          </w:tcPr>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Year 5</w:t>
            </w:r>
          </w:p>
        </w:tc>
      </w:tr>
      <w:tr w:rsidR="00AB0EB4" w:rsidRPr="00BA4141" w:rsidTr="00AB0EB4">
        <w:tc>
          <w:tcPr>
            <w:tcW w:w="4017" w:type="dxa"/>
          </w:tcPr>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Costs: Initial</w:t>
            </w:r>
          </w:p>
        </w:tc>
        <w:tc>
          <w:tcPr>
            <w:tcW w:w="115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600,000</w:t>
            </w:r>
          </w:p>
        </w:tc>
        <w:tc>
          <w:tcPr>
            <w:tcW w:w="1156" w:type="dxa"/>
          </w:tcPr>
          <w:p w:rsidR="00AB0EB4" w:rsidRPr="00BA4141" w:rsidRDefault="00AB0EB4" w:rsidP="00AB0EB4">
            <w:pPr>
              <w:tabs>
                <w:tab w:val="left" w:pos="3645"/>
              </w:tabs>
              <w:jc w:val="right"/>
              <w:rPr>
                <w:rFonts w:ascii="Book Antiqua" w:hAnsi="Book Antiqua"/>
                <w:sz w:val="24"/>
                <w:szCs w:val="20"/>
              </w:rPr>
            </w:pPr>
          </w:p>
        </w:tc>
        <w:tc>
          <w:tcPr>
            <w:tcW w:w="1078" w:type="dxa"/>
          </w:tcPr>
          <w:p w:rsidR="00AB0EB4" w:rsidRPr="00BA4141" w:rsidRDefault="00AB0EB4" w:rsidP="00AB0EB4">
            <w:pPr>
              <w:tabs>
                <w:tab w:val="left" w:pos="3645"/>
              </w:tabs>
              <w:jc w:val="right"/>
              <w:rPr>
                <w:rFonts w:ascii="Book Antiqua" w:hAnsi="Book Antiqua"/>
                <w:sz w:val="24"/>
                <w:szCs w:val="20"/>
              </w:rPr>
            </w:pPr>
          </w:p>
        </w:tc>
        <w:tc>
          <w:tcPr>
            <w:tcW w:w="1076" w:type="dxa"/>
          </w:tcPr>
          <w:p w:rsidR="00AB0EB4" w:rsidRPr="00BA4141" w:rsidRDefault="00AB0EB4" w:rsidP="00AB0EB4">
            <w:pPr>
              <w:tabs>
                <w:tab w:val="left" w:pos="3645"/>
              </w:tabs>
              <w:jc w:val="right"/>
              <w:rPr>
                <w:rFonts w:ascii="Book Antiqua" w:hAnsi="Book Antiqua"/>
                <w:sz w:val="24"/>
                <w:szCs w:val="20"/>
              </w:rPr>
            </w:pPr>
          </w:p>
        </w:tc>
        <w:tc>
          <w:tcPr>
            <w:tcW w:w="1093" w:type="dxa"/>
          </w:tcPr>
          <w:p w:rsidR="00AB0EB4" w:rsidRPr="00BA4141" w:rsidRDefault="00AB0EB4" w:rsidP="00AB0EB4">
            <w:pPr>
              <w:tabs>
                <w:tab w:val="left" w:pos="3645"/>
              </w:tabs>
              <w:jc w:val="right"/>
              <w:rPr>
                <w:rFonts w:ascii="Book Antiqua" w:hAnsi="Book Antiqua"/>
                <w:sz w:val="24"/>
                <w:szCs w:val="20"/>
              </w:rPr>
            </w:pPr>
          </w:p>
        </w:tc>
      </w:tr>
      <w:tr w:rsidR="00AB0EB4" w:rsidRPr="00BA4141" w:rsidTr="00AB0EB4">
        <w:tc>
          <w:tcPr>
            <w:tcW w:w="4017" w:type="dxa"/>
          </w:tcPr>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Costs: Recurring</w:t>
            </w:r>
          </w:p>
        </w:tc>
        <w:tc>
          <w:tcPr>
            <w:tcW w:w="115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60,000</w:t>
            </w:r>
          </w:p>
        </w:tc>
        <w:tc>
          <w:tcPr>
            <w:tcW w:w="115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60,000</w:t>
            </w:r>
          </w:p>
        </w:tc>
        <w:tc>
          <w:tcPr>
            <w:tcW w:w="1078"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60,000</w:t>
            </w:r>
          </w:p>
        </w:tc>
        <w:tc>
          <w:tcPr>
            <w:tcW w:w="107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60,000</w:t>
            </w:r>
          </w:p>
        </w:tc>
        <w:tc>
          <w:tcPr>
            <w:tcW w:w="1093"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60,000</w:t>
            </w:r>
          </w:p>
        </w:tc>
      </w:tr>
      <w:tr w:rsidR="00AB0EB4" w:rsidRPr="00BA4141" w:rsidTr="00AB0EB4">
        <w:tc>
          <w:tcPr>
            <w:tcW w:w="4017" w:type="dxa"/>
          </w:tcPr>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Benefits: Rental savings</w:t>
            </w:r>
          </w:p>
        </w:tc>
        <w:tc>
          <w:tcPr>
            <w:tcW w:w="115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144,000</w:t>
            </w:r>
          </w:p>
        </w:tc>
        <w:tc>
          <w:tcPr>
            <w:tcW w:w="1156" w:type="dxa"/>
          </w:tcPr>
          <w:p w:rsidR="00AB0EB4" w:rsidRPr="00BA4141" w:rsidRDefault="00AB0EB4" w:rsidP="00AB0EB4">
            <w:pPr>
              <w:tabs>
                <w:tab w:val="left" w:pos="3645"/>
              </w:tabs>
              <w:jc w:val="right"/>
              <w:rPr>
                <w:rFonts w:ascii="Book Antiqua" w:hAnsi="Book Antiqua"/>
                <w:b/>
                <w:sz w:val="24"/>
                <w:szCs w:val="20"/>
              </w:rPr>
            </w:pPr>
            <w:r w:rsidRPr="00BA4141">
              <w:rPr>
                <w:rFonts w:ascii="Book Antiqua" w:hAnsi="Book Antiqua"/>
                <w:sz w:val="24"/>
                <w:szCs w:val="20"/>
              </w:rPr>
              <w:t>144,000</w:t>
            </w:r>
          </w:p>
        </w:tc>
        <w:tc>
          <w:tcPr>
            <w:tcW w:w="1078"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144,000</w:t>
            </w:r>
          </w:p>
        </w:tc>
        <w:tc>
          <w:tcPr>
            <w:tcW w:w="107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144,000</w:t>
            </w:r>
          </w:p>
        </w:tc>
        <w:tc>
          <w:tcPr>
            <w:tcW w:w="1093"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144,000</w:t>
            </w:r>
          </w:p>
        </w:tc>
      </w:tr>
      <w:tr w:rsidR="00AB0EB4" w:rsidRPr="00BA4141" w:rsidTr="00AB0EB4">
        <w:tc>
          <w:tcPr>
            <w:tcW w:w="4017" w:type="dxa"/>
          </w:tcPr>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Benefits: Energy savings</w:t>
            </w:r>
          </w:p>
        </w:tc>
        <w:tc>
          <w:tcPr>
            <w:tcW w:w="115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30,000</w:t>
            </w:r>
          </w:p>
        </w:tc>
        <w:tc>
          <w:tcPr>
            <w:tcW w:w="115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30,000</w:t>
            </w:r>
          </w:p>
        </w:tc>
        <w:tc>
          <w:tcPr>
            <w:tcW w:w="1078"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30,000</w:t>
            </w:r>
          </w:p>
        </w:tc>
        <w:tc>
          <w:tcPr>
            <w:tcW w:w="107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30,000</w:t>
            </w:r>
          </w:p>
        </w:tc>
        <w:tc>
          <w:tcPr>
            <w:tcW w:w="1093"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30,000</w:t>
            </w:r>
          </w:p>
        </w:tc>
      </w:tr>
      <w:tr w:rsidR="00AB0EB4" w:rsidRPr="00BA4141" w:rsidTr="00AB0EB4">
        <w:tc>
          <w:tcPr>
            <w:tcW w:w="4017" w:type="dxa"/>
          </w:tcPr>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Benefits: Increased income</w:t>
            </w:r>
          </w:p>
        </w:tc>
        <w:tc>
          <w:tcPr>
            <w:tcW w:w="115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20,000</w:t>
            </w:r>
          </w:p>
        </w:tc>
        <w:tc>
          <w:tcPr>
            <w:tcW w:w="115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20,000</w:t>
            </w:r>
          </w:p>
        </w:tc>
        <w:tc>
          <w:tcPr>
            <w:tcW w:w="1078"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70,000</w:t>
            </w:r>
          </w:p>
        </w:tc>
        <w:tc>
          <w:tcPr>
            <w:tcW w:w="107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90,000</w:t>
            </w:r>
          </w:p>
        </w:tc>
        <w:tc>
          <w:tcPr>
            <w:tcW w:w="1093"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90,000</w:t>
            </w:r>
          </w:p>
        </w:tc>
      </w:tr>
      <w:tr w:rsidR="00AB0EB4" w:rsidRPr="00BA4141" w:rsidTr="00AB0EB4">
        <w:tc>
          <w:tcPr>
            <w:tcW w:w="4017" w:type="dxa"/>
          </w:tcPr>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Benefits: Better staff morale</w:t>
            </w:r>
          </w:p>
        </w:tc>
        <w:tc>
          <w:tcPr>
            <w:tcW w:w="115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25,000</w:t>
            </w:r>
          </w:p>
        </w:tc>
        <w:tc>
          <w:tcPr>
            <w:tcW w:w="115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25,000</w:t>
            </w:r>
          </w:p>
        </w:tc>
        <w:tc>
          <w:tcPr>
            <w:tcW w:w="1078"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25,000</w:t>
            </w:r>
          </w:p>
        </w:tc>
        <w:tc>
          <w:tcPr>
            <w:tcW w:w="107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25,000</w:t>
            </w:r>
          </w:p>
        </w:tc>
        <w:tc>
          <w:tcPr>
            <w:tcW w:w="1093"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25,000</w:t>
            </w:r>
          </w:p>
        </w:tc>
      </w:tr>
      <w:tr w:rsidR="00AB0EB4" w:rsidRPr="00BA4141" w:rsidTr="00AB0EB4">
        <w:tc>
          <w:tcPr>
            <w:tcW w:w="4017" w:type="dxa"/>
          </w:tcPr>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Cumulative net benefits</w:t>
            </w:r>
          </w:p>
        </w:tc>
        <w:tc>
          <w:tcPr>
            <w:tcW w:w="115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(441,000)</w:t>
            </w:r>
          </w:p>
        </w:tc>
        <w:tc>
          <w:tcPr>
            <w:tcW w:w="115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(282,000)</w:t>
            </w:r>
          </w:p>
        </w:tc>
        <w:tc>
          <w:tcPr>
            <w:tcW w:w="1078"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(73,000)</w:t>
            </w:r>
          </w:p>
        </w:tc>
        <w:tc>
          <w:tcPr>
            <w:tcW w:w="1076"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156,000</w:t>
            </w:r>
          </w:p>
        </w:tc>
        <w:tc>
          <w:tcPr>
            <w:tcW w:w="1093" w:type="dxa"/>
          </w:tcPr>
          <w:p w:rsidR="00AB0EB4" w:rsidRPr="00BA4141" w:rsidRDefault="00AB0EB4" w:rsidP="00AB0EB4">
            <w:pPr>
              <w:tabs>
                <w:tab w:val="left" w:pos="3645"/>
              </w:tabs>
              <w:jc w:val="right"/>
              <w:rPr>
                <w:rFonts w:ascii="Book Antiqua" w:hAnsi="Book Antiqua"/>
                <w:sz w:val="24"/>
                <w:szCs w:val="20"/>
              </w:rPr>
            </w:pPr>
            <w:r w:rsidRPr="00BA4141">
              <w:rPr>
                <w:rFonts w:ascii="Book Antiqua" w:hAnsi="Book Antiqua"/>
                <w:sz w:val="24"/>
                <w:szCs w:val="20"/>
              </w:rPr>
              <w:t>385,000</w:t>
            </w:r>
          </w:p>
        </w:tc>
      </w:tr>
    </w:tbl>
    <w:p w:rsidR="00AB0EB4" w:rsidRPr="00BA4141" w:rsidRDefault="00AB0EB4" w:rsidP="00AB0EB4">
      <w:pPr>
        <w:tabs>
          <w:tab w:val="left" w:pos="3645"/>
        </w:tabs>
        <w:jc w:val="center"/>
        <w:rPr>
          <w:rFonts w:ascii="Book Antiqua" w:hAnsi="Book Antiqua"/>
          <w:b/>
          <w:sz w:val="24"/>
          <w:szCs w:val="20"/>
        </w:rPr>
      </w:pPr>
      <w:r w:rsidRPr="00BA4141">
        <w:rPr>
          <w:rFonts w:ascii="Book Antiqua" w:hAnsi="Book Antiqua"/>
          <w:b/>
          <w:sz w:val="24"/>
          <w:szCs w:val="20"/>
        </w:rPr>
        <w:t>Figure 1: Costs and benefits of the business case for the community centre at Tillo</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New buildings built under the Private/Public investment policy must attain energy level targets and this is the basis for the estimation, above, of the energy savings. It is expected that the new centre will attract more customers who will pay for the centre’s use as well as increasing the use of facilities such as the cafeteria, shop and business centre. These benefits are estimated, above, under increased income. Finally, it is felt that staff will be happier in the new building and their motivation and morale will increase. The centre currently employs 20 staff, 16 of whom have been with the centre for more than five years. All employees were transferred from the old to the new centre. These benefits are shown as better staff morale in Figure 1.</w:t>
      </w: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Construction of the centre 2010–2011</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 xml:space="preserve">In October 2010 the centre was commissioned with a planned delivery date of June 2011 at a cost of $600,000 (as per Figure 1). Building the centre went relatively smoothly. Progress was monitored and issues resolved in monthly meetings between the company constructing the centre and representatives of the local authority. These meetings focused on the building of the centre, monitoring progress and resolving issues. Most of these issues were relatively minor because requirements were well </w:t>
      </w:r>
      <w:r w:rsidRPr="00BA4141">
        <w:rPr>
          <w:rFonts w:ascii="Book Antiqua" w:hAnsi="Book Antiqua"/>
          <w:sz w:val="24"/>
          <w:szCs w:val="20"/>
        </w:rPr>
        <w:lastRenderedPageBreak/>
        <w:t>specified in standard architectural drawings originally agreed between the project sponsor and the company constructing the centre. Unfortunately, the original project sponsor (an employee of the local authority) who had been heavily involved in the initial design, suffered ill health and died in April 2011. The new project sponsor (again an employee of the local authority) was less enthusiastic about the project and began to raise a number of objections. Her first concern was that the construction company had used sub-contracted labour and had sourced less than 80% of timber used in the building from sustainable resources. She pointed out the contractual terms of supply for the Private/Public policy investment initiatives mandated that sub-contracting was not allowed without the local authority’s permission and that at least 80% of the timber used must come from sustainable forests. The company said that this had not been brought to their attention at the start of the project. However, they would try to comply with these requirements for the rest of the contract. The new sponsor also refused to sign off acceptance of the centre because of the poor quality of the internal paintwork. The construction company explained that this was the intended finish quality of the centre and had been agreed with the previous sponsor. They produced a letter to verify this. However, the letter was not counter-signed by the sponsor and so its validity was questioned. In the end, the construction company agreed to improve the internal painting at their own cost. The new sponsor felt that she had delivered ‘value for money’ by challenging the construction company. Despite this problem with the internal painting, the centre was finished in May 2011 at a cost of $600,000. The centre also included disability access built at the initiative of the construction company. It had found it difficult to find local authority staff willing and able to discuss disability access and so it was therefore left alone to interpret relevant legal requirements. Fortunately, their interpretation was correct and the new centre was deemed, by an independent assessor, to meet accessibility requirements.</w:t>
      </w:r>
    </w:p>
    <w:p w:rsidR="00AB0EB4" w:rsidRPr="00BA4141" w:rsidRDefault="00AB0EB4" w:rsidP="00AB0EB4">
      <w:pPr>
        <w:tabs>
          <w:tab w:val="left" w:pos="3645"/>
        </w:tabs>
        <w:jc w:val="both"/>
        <w:rPr>
          <w:rFonts w:ascii="Book Antiqua" w:hAnsi="Book Antiqua"/>
          <w:sz w:val="24"/>
          <w:szCs w:val="20"/>
        </w:rPr>
      </w:pPr>
      <w:r w:rsidRPr="00BA4141">
        <w:rPr>
          <w:rFonts w:ascii="Book Antiqua" w:hAnsi="Book Antiqua"/>
          <w:sz w:val="24"/>
          <w:szCs w:val="20"/>
        </w:rPr>
        <w:t>Unfortunately, the new centre was not as successful as had been predicted, with income in the first year well below expectations. The project sponsor began to be increasingly critical of the builders of the centre and questioned the whole value of the project. She was openly sceptical of the project to her fellow local authority employees. She suggested that the project to build a cost-effective centre had failed and called for an inquiry into the performance of the project manager of the construction company who was responsible for building the centre. ‘We need him to explain to us why the centre is not delivering the benefits we expected’, she explained.</w:t>
      </w: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Required:</w:t>
      </w:r>
    </w:p>
    <w:p w:rsidR="00AB0EB4" w:rsidRPr="00BA4141" w:rsidRDefault="00AB0EB4" w:rsidP="00387FB1">
      <w:pPr>
        <w:pStyle w:val="ListParagraph"/>
        <w:widowControl/>
        <w:numPr>
          <w:ilvl w:val="0"/>
          <w:numId w:val="15"/>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The local authority has commissioned the independent Project Audit Agency (PAA) to look into how the project had been commissioned and managed. The PAA believes that a formal ‘terms of reference’ or ‘project initiation document’ would have resolved or clarified some of the problems and issues encountered in the project. It also feels that there are important lessons to be learnt by both the local authority and the construction company.</w:t>
      </w:r>
    </w:p>
    <w:p w:rsidR="00AB0EB4" w:rsidRPr="00BA4141" w:rsidRDefault="00AB0EB4" w:rsidP="00AB0EB4">
      <w:pPr>
        <w:tabs>
          <w:tab w:val="left" w:pos="3645"/>
        </w:tabs>
        <w:ind w:left="720"/>
        <w:jc w:val="both"/>
        <w:rPr>
          <w:rFonts w:ascii="Book Antiqua" w:hAnsi="Book Antiqua"/>
          <w:b/>
          <w:sz w:val="24"/>
          <w:szCs w:val="20"/>
        </w:rPr>
      </w:pPr>
      <w:r w:rsidRPr="00BA4141">
        <w:rPr>
          <w:rFonts w:ascii="Book Antiqua" w:hAnsi="Book Antiqua"/>
          <w:b/>
          <w:sz w:val="24"/>
          <w:szCs w:val="20"/>
        </w:rPr>
        <w:t xml:space="preserve">Analyse how a formal ‘terms of reference’ (project initiation document) would </w:t>
      </w:r>
      <w:r w:rsidRPr="00BA4141">
        <w:rPr>
          <w:rFonts w:ascii="Book Antiqua" w:hAnsi="Book Antiqua"/>
          <w:b/>
          <w:sz w:val="24"/>
          <w:szCs w:val="20"/>
        </w:rPr>
        <w:lastRenderedPageBreak/>
        <w:t xml:space="preserve">have helped address problems encountered in the project to construct the community centre and lead to improved project management in future projects. </w:t>
      </w:r>
    </w:p>
    <w:p w:rsidR="00AB0EB4" w:rsidRPr="00BA4141" w:rsidRDefault="00AB0EB4" w:rsidP="00387FB1">
      <w:pPr>
        <w:pStyle w:val="ListParagraph"/>
        <w:widowControl/>
        <w:numPr>
          <w:ilvl w:val="0"/>
          <w:numId w:val="15"/>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The PAA also believes that the four sets of benefits identified in the original business case (rental savings, energy savings, increased income and better staff morale) should have been justified more explicitly.</w:t>
      </w:r>
    </w:p>
    <w:p w:rsidR="00AB0EB4" w:rsidRPr="00BA4141" w:rsidRDefault="00AB0EB4" w:rsidP="00AB0EB4">
      <w:pPr>
        <w:tabs>
          <w:tab w:val="left" w:pos="3645"/>
        </w:tabs>
        <w:ind w:left="720"/>
        <w:jc w:val="both"/>
        <w:rPr>
          <w:rFonts w:ascii="Book Antiqua" w:hAnsi="Book Antiqua"/>
          <w:b/>
          <w:sz w:val="24"/>
          <w:szCs w:val="20"/>
        </w:rPr>
      </w:pPr>
      <w:r w:rsidRPr="00BA4141">
        <w:rPr>
          <w:rFonts w:ascii="Book Antiqua" w:hAnsi="Book Antiqua"/>
          <w:b/>
          <w:sz w:val="24"/>
          <w:szCs w:val="20"/>
        </w:rPr>
        <w:t xml:space="preserve">Draft an analysis for the PAA that formally categorises and critically evaluates each of the four sets of proposed benefits defined in the original business case. </w:t>
      </w:r>
    </w:p>
    <w:p w:rsidR="00AB0EB4" w:rsidRPr="00BA4141" w:rsidRDefault="00AB0EB4" w:rsidP="00AB0EB4">
      <w:pPr>
        <w:tabs>
          <w:tab w:val="left" w:pos="3645"/>
        </w:tabs>
        <w:jc w:val="both"/>
        <w:rPr>
          <w:rFonts w:ascii="Book Antiqua" w:hAnsi="Book Antiqua"/>
          <w:b/>
          <w:sz w:val="24"/>
          <w:szCs w:val="20"/>
        </w:rPr>
      </w:pPr>
      <w:r w:rsidRPr="00BA4141">
        <w:rPr>
          <w:rFonts w:ascii="Book Antiqua" w:hAnsi="Book Antiqua"/>
          <w:b/>
          <w:sz w:val="24"/>
          <w:szCs w:val="20"/>
        </w:rPr>
        <w:t>Answer:-</w:t>
      </w:r>
    </w:p>
    <w:p w:rsidR="00AB0EB4" w:rsidRPr="00BA4141" w:rsidRDefault="00AB0EB4" w:rsidP="00387FB1">
      <w:pPr>
        <w:pStyle w:val="ListParagraph"/>
        <w:widowControl/>
        <w:numPr>
          <w:ilvl w:val="0"/>
          <w:numId w:val="16"/>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 xml:space="preserve">Meetings were held throughout the design and construction of the centre. These meetings focused on the building of the centre, monitoring progress and resolving minor issues that arose during construction. The successful completion of the centre on budget and ahead of schedule suggests that these meetings were effective. However, the absence of a wider </w:t>
      </w:r>
      <w:r w:rsidRPr="00BA4141">
        <w:rPr>
          <w:rFonts w:ascii="Book Antiqua" w:hAnsi="Book Antiqua"/>
          <w:b/>
          <w:sz w:val="24"/>
          <w:szCs w:val="20"/>
        </w:rPr>
        <w:t>project initiation document</w:t>
      </w:r>
      <w:r w:rsidRPr="00BA4141">
        <w:rPr>
          <w:rFonts w:ascii="Book Antiqua" w:hAnsi="Book Antiqua"/>
          <w:sz w:val="24"/>
          <w:szCs w:val="20"/>
        </w:rPr>
        <w:t xml:space="preserve"> or </w:t>
      </w:r>
      <w:r w:rsidRPr="00BA4141">
        <w:rPr>
          <w:rFonts w:ascii="Book Antiqua" w:hAnsi="Book Antiqua"/>
          <w:b/>
          <w:sz w:val="24"/>
          <w:szCs w:val="20"/>
        </w:rPr>
        <w:t>terms of reference</w:t>
      </w:r>
      <w:r w:rsidRPr="00BA4141">
        <w:rPr>
          <w:rFonts w:ascii="Book Antiqua" w:hAnsi="Book Antiqua"/>
          <w:sz w:val="24"/>
          <w:szCs w:val="20"/>
        </w:rPr>
        <w:t xml:space="preserve"> created problems that could have been resolved or better understood. An analysis of how a standard document could have helped address some of the issues that affected the construction and subsequent evaluation of the centre is given below.</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There was confusion about the </w:t>
      </w:r>
      <w:r w:rsidRPr="00BA4141">
        <w:rPr>
          <w:rFonts w:ascii="Book Antiqua" w:hAnsi="Book Antiqua"/>
          <w:b/>
          <w:sz w:val="24"/>
          <w:szCs w:val="20"/>
        </w:rPr>
        <w:t>objectives</w:t>
      </w:r>
      <w:r w:rsidRPr="00BA4141">
        <w:rPr>
          <w:rFonts w:ascii="Book Antiqua" w:hAnsi="Book Antiqua"/>
          <w:sz w:val="24"/>
          <w:szCs w:val="20"/>
        </w:rPr>
        <w:t xml:space="preserve"> of the project. The local authority is unable to recognise the distinction between </w:t>
      </w:r>
      <w:r w:rsidRPr="00BA4141">
        <w:rPr>
          <w:rFonts w:ascii="Book Antiqua" w:hAnsi="Book Antiqua"/>
          <w:i/>
          <w:sz w:val="24"/>
          <w:szCs w:val="20"/>
        </w:rPr>
        <w:t>project objectives and business objectives</w:t>
      </w:r>
      <w:r w:rsidRPr="00BA4141">
        <w:rPr>
          <w:rFonts w:ascii="Book Antiqua" w:hAnsi="Book Antiqua"/>
          <w:sz w:val="24"/>
          <w:szCs w:val="20"/>
        </w:rPr>
        <w:t>. The business objective of the project was to deliver payback in four years as required by the Private/Public investment policy. In contrast, the project objective was to build the centre by June 2011 for $600,000. By their very nature, the business objectives are not within the control of the project manager from the construction company responsible for building the centre. The achievement of the business objectives will involve much more than just delivering a building. They will concern marketing, sales and the successful operation of the centre. Evidence seems to suggest that the project manager was not (as the second project sponsor claimed) a failure. He delivered the building within budget and ahead of schedule. The problem was the failure of the local authority to distinguish between the project objectives (constructing the building) and the wider business objectives which the building was to help satisfy. It appears that nobody was either aware of, or willing to take responsibility for these wider objectives. It is recommended that future projects should clearly distinguish between project and business objectives and assign responsibilities to each.</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w:t>
      </w:r>
      <w:r w:rsidRPr="00BA4141">
        <w:rPr>
          <w:rFonts w:ascii="Book Antiqua" w:hAnsi="Book Antiqua"/>
          <w:b/>
          <w:sz w:val="24"/>
          <w:szCs w:val="20"/>
        </w:rPr>
        <w:t>scope</w:t>
      </w:r>
      <w:r w:rsidRPr="00BA4141">
        <w:rPr>
          <w:rFonts w:ascii="Book Antiqua" w:hAnsi="Book Antiqua"/>
          <w:sz w:val="24"/>
          <w:szCs w:val="20"/>
        </w:rPr>
        <w:t xml:space="preserve"> of the project was well-defined by the standard architectural drawings agreed between the construction company and the project sponsor. The only significant problem concerned the quality of the internal painting. There is no way (post project) of reconciling this misunderstanding. The construction company felt that it had come to an arrangement about this with the initial sponsor, but no documentation could be found to irrevocably support this. The letter confirming the intended finish produced by the construction company was not counter-signed by the project sponsor. This is an </w:t>
      </w:r>
      <w:r w:rsidRPr="00BA4141">
        <w:rPr>
          <w:rFonts w:ascii="Book Antiqua" w:hAnsi="Book Antiqua"/>
          <w:sz w:val="24"/>
          <w:szCs w:val="20"/>
        </w:rPr>
        <w:lastRenderedPageBreak/>
        <w:t>important lesson for the construction company in future projects. Changes or clarifications to the specification must be counter-signed by both parties. This is also appropriate to the local authority’s project management methods, continuing to demand that all changes must be counter-signed by both parties.</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w:t>
      </w:r>
      <w:r w:rsidRPr="00BA4141">
        <w:rPr>
          <w:rFonts w:ascii="Book Antiqua" w:hAnsi="Book Antiqua"/>
          <w:b/>
          <w:sz w:val="24"/>
          <w:szCs w:val="20"/>
        </w:rPr>
        <w:t>constraints</w:t>
      </w:r>
      <w:r w:rsidRPr="00BA4141">
        <w:rPr>
          <w:rFonts w:ascii="Book Antiqua" w:hAnsi="Book Antiqua"/>
          <w:sz w:val="24"/>
          <w:szCs w:val="20"/>
        </w:rPr>
        <w:t xml:space="preserve"> of the project were relatively well-defined in terms of time and cost, as these were defined in the original business case. However, tension was caused within the project when it became clear that certain labour and sourcing requirements of the Private/Public policy were not being adhered to. Specifically, these concerned the use of sub-contracted labour (not to be used without the commissioning agency’s permission) and sourcing at least 80% of timber on the project from sustainable forests. The generic terms of the Private/Public investment policy were not made available to the construction company. It is suggested that the local authority should, in future, integrate such objectives explicitly into the project terms of reference.</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w:t>
      </w:r>
      <w:r w:rsidRPr="00BA4141">
        <w:rPr>
          <w:rFonts w:ascii="Book Antiqua" w:hAnsi="Book Antiqua"/>
          <w:b/>
          <w:sz w:val="24"/>
          <w:szCs w:val="20"/>
        </w:rPr>
        <w:t>authority</w:t>
      </w:r>
      <w:r w:rsidRPr="00BA4141">
        <w:rPr>
          <w:rFonts w:ascii="Book Antiqua" w:hAnsi="Book Antiqua"/>
          <w:sz w:val="24"/>
          <w:szCs w:val="20"/>
        </w:rPr>
        <w:t xml:space="preserve"> of the project is the sponsor responsible for making decisions about the project, providing resources, considering and agreeing changes. They should also promote the project within the local authority and accept the project once it has been completed. The original sponsor on the local authority was very supportive of the centre’s design but their successor seemed unsure of her responsibilities and focused on obtaining concessions from the suppliers under the pretext of ‘value for money’ rather than considering the wider issues, such as defining who had responsibility for delivering the business objectives. She also failed to promote the project to her fellow employees and tried to blame the builders for the failure. The role of the project sponsor should be formally defined within the local authority. Their responsibilities should be clear and failure to adhere to those responsibilities should be addressed.</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w:t>
      </w:r>
      <w:r w:rsidRPr="00BA4141">
        <w:rPr>
          <w:rFonts w:ascii="Book Antiqua" w:hAnsi="Book Antiqua"/>
          <w:b/>
          <w:sz w:val="24"/>
          <w:szCs w:val="20"/>
        </w:rPr>
        <w:t>resources</w:t>
      </w:r>
      <w:r w:rsidRPr="00BA4141">
        <w:rPr>
          <w:rFonts w:ascii="Book Antiqua" w:hAnsi="Book Antiqua"/>
          <w:sz w:val="24"/>
          <w:szCs w:val="20"/>
        </w:rPr>
        <w:t xml:space="preserve"> available to the project were relatively well defined, although the lack of local authority staff able and willing to discuss disability access meant that the contractors had to use their own initiative in this area. Fortunately for them, they interpreted legal requirements correctly and the delivered centre was deemed to be compliant with legislation. However, this is a risky approach and is not recommended for the future. Local authority resources and support required by projects should be specifically defined in advance. If they are unavailable during the project then substitutes must be provided.</w:t>
      </w:r>
    </w:p>
    <w:p w:rsidR="00AB0EB4" w:rsidRPr="00BA4141" w:rsidRDefault="00AB0EB4" w:rsidP="00387FB1">
      <w:pPr>
        <w:pStyle w:val="ListParagraph"/>
        <w:widowControl/>
        <w:numPr>
          <w:ilvl w:val="0"/>
          <w:numId w:val="16"/>
        </w:numPr>
        <w:tabs>
          <w:tab w:val="left" w:pos="3645"/>
        </w:tabs>
        <w:spacing w:after="200" w:line="276" w:lineRule="auto"/>
        <w:contextualSpacing/>
        <w:jc w:val="both"/>
        <w:rPr>
          <w:rFonts w:ascii="Book Antiqua" w:hAnsi="Book Antiqua"/>
          <w:sz w:val="24"/>
          <w:szCs w:val="20"/>
        </w:rPr>
      </w:pPr>
      <w:r w:rsidRPr="00BA4141">
        <w:rPr>
          <w:rFonts w:ascii="Book Antiqua" w:hAnsi="Book Antiqua"/>
          <w:sz w:val="24"/>
          <w:szCs w:val="20"/>
        </w:rPr>
        <w:t>This part of the question evaluates the four sets of benefits identified in the payback calculation. It requires the categorization and critical evaluation of each benefit.</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Ward and Daniel use the term </w:t>
      </w:r>
      <w:r w:rsidRPr="00BA4141">
        <w:rPr>
          <w:rFonts w:ascii="Book Antiqua" w:hAnsi="Book Antiqua"/>
          <w:b/>
          <w:sz w:val="24"/>
          <w:szCs w:val="20"/>
        </w:rPr>
        <w:t>‘observable benefits’</w:t>
      </w:r>
      <w:r w:rsidRPr="00BA4141">
        <w:rPr>
          <w:rFonts w:ascii="Book Antiqua" w:hAnsi="Book Antiqua"/>
          <w:sz w:val="24"/>
          <w:szCs w:val="20"/>
        </w:rPr>
        <w:t xml:space="preserve"> to describe the least explicit benefits such as increased staff morale in the case of the community centre. They suggest that such benefits should be assessed against clear criteria by someone who is qualified to make such an assessment. So, for example, current staff morale and motivation might be assessed in an independent survey and compared to results from a similar survey conducted once the centre has been built and occupied.</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In the context of the centre it might seem reasonable to assume that improved staff morale and motivation will have a positive effect on the success of the centre. For </w:t>
      </w:r>
      <w:r w:rsidRPr="00BA4141">
        <w:rPr>
          <w:rFonts w:ascii="Book Antiqua" w:hAnsi="Book Antiqua"/>
          <w:sz w:val="24"/>
          <w:szCs w:val="20"/>
        </w:rPr>
        <w:lastRenderedPageBreak/>
        <w:t>example, it may lead to better customer service, which may, in turn, lead to customers returning more often or using more facilities whilst they are there. It may also lead to reduced staff turnover, so decreasing costs associated with recruitment, induction and training.</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However, from a benefits perspective, two issues have to be specifically addressed.</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Firstly, the relatively significant estimated benefits attributed to improved staff morale in the original payback calculation must be questioned. In terms of increased benefits it is difficult to disentangle benefits due to this from other factors which might lead to increased customer use. In terms of reduced recruitment costs, there is little to suggest that staff turnover is high at the moment. 80% of the staff has been with the centre for over five years and there is an economic recession in the country, with unprecedented unemployment.</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Secondly, and perhaps more fundamentally, the whole basis of the benefit needs further consideration. It is unclear why moving to the new centre would necessarily improve staff morale and motivation in the first place. There may be some intellectual support for the view that a pleasant working environment contributes towards motivation, but, in the initial stagesthe centre is likely to  have temporary teething problems leading to (at least in the short term) a more stressful work environment. Similarly, even if a survey found that morale and motivation had increased it would be hazardous to attribute this to the investment in the centre as it may be largely due to external factors affecting each individual.</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A </w:t>
      </w:r>
      <w:r w:rsidRPr="00BA4141">
        <w:rPr>
          <w:rFonts w:ascii="Book Antiqua" w:hAnsi="Book Antiqua"/>
          <w:b/>
          <w:sz w:val="24"/>
          <w:szCs w:val="20"/>
        </w:rPr>
        <w:t>measurable benefit</w:t>
      </w:r>
      <w:r w:rsidRPr="00BA4141">
        <w:rPr>
          <w:rFonts w:ascii="Book Antiqua" w:hAnsi="Book Antiqua"/>
          <w:sz w:val="24"/>
          <w:szCs w:val="20"/>
        </w:rPr>
        <w:t xml:space="preserve"> is one where an aspect of performance is currently being measured or could be measured. However, it is not possible to estimate with any certainty, in advance, how much performance will improve when the changes are completed. In the context of the centre, increased income seems a reasonable measurable benefit. It seems reasonable to expect that current income is measured and that similar measures may be collected in the future.</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The estimates on the payback calculation need further scrutiny, particularly the large increases predicted for years three and four. It should be acknowledged that few benefits are instantaneous and that use will only increase as the reputation of the centre grows. However, this growth in customer use is not associated with any increased costs which would seem unlikely. Hence, the basis of these benefits requires further investigation.</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A </w:t>
      </w:r>
      <w:r w:rsidRPr="00BA4141">
        <w:rPr>
          <w:rFonts w:ascii="Book Antiqua" w:hAnsi="Book Antiqua"/>
          <w:b/>
          <w:sz w:val="24"/>
          <w:szCs w:val="20"/>
        </w:rPr>
        <w:t>quantifiable benefit</w:t>
      </w:r>
      <w:r w:rsidRPr="00BA4141">
        <w:rPr>
          <w:rFonts w:ascii="Book Antiqua" w:hAnsi="Book Antiqua"/>
          <w:sz w:val="24"/>
          <w:szCs w:val="20"/>
        </w:rPr>
        <w:t xml:space="preserve"> is one where there is sufficient evidence to forecast how much improvement or benefit should result from the proposed changes. In such circumstances the level of performance prior to the change is known and the improvement can be specifically attributed to the investment, rather than to other changes. Energy savings appears to fit into this category. Energy use could be established for the current building. The Private/Public investment policy requires buildings constructed under this arrangement to meet specified target energy levels. The construction methods and design of the building should reflect the need to meet this target. Thus there is a good basis for predicting energy savings, although, of course, the actual savings will not be known until after implementation.</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Finally, a </w:t>
      </w:r>
      <w:r w:rsidRPr="00BA4141">
        <w:rPr>
          <w:rFonts w:ascii="Book Antiqua" w:hAnsi="Book Antiqua"/>
          <w:b/>
          <w:sz w:val="24"/>
          <w:szCs w:val="20"/>
        </w:rPr>
        <w:t>financial benefit</w:t>
      </w:r>
      <w:r w:rsidRPr="00BA4141">
        <w:rPr>
          <w:rFonts w:ascii="Book Antiqua" w:hAnsi="Book Antiqua"/>
          <w:sz w:val="24"/>
          <w:szCs w:val="20"/>
        </w:rPr>
        <w:t xml:space="preserve"> is one where a financial value can be obtained by applying a </w:t>
      </w:r>
      <w:r w:rsidRPr="00BA4141">
        <w:rPr>
          <w:rFonts w:ascii="Book Antiqua" w:hAnsi="Book Antiqua"/>
          <w:sz w:val="24"/>
          <w:szCs w:val="20"/>
        </w:rPr>
        <w:lastRenderedPageBreak/>
        <w:t>cost, price or any other valid financial formula to a quantifiable benefit. Thus we might re-classify the quantifiable benefit of energy savings as a financial benefit, assuming that the new building meets the minimum level required by the initiative. There are still important assumptions here, and the real performance can only be assessed after the building has been used for a while. There is still an element of estimation, and indeed the new building may surpass the minimum levels assumed in the cost/benefit analysis. In contrast rental savings on the current properties are both definite and immediate and are correctly recorded in the payback calculation.</w:t>
      </w:r>
    </w:p>
    <w:p w:rsidR="00AB0EB4" w:rsidRPr="00BA4141" w:rsidRDefault="00AB0EB4" w:rsidP="00AB0EB4">
      <w:pPr>
        <w:pStyle w:val="ListParagraph"/>
        <w:tabs>
          <w:tab w:val="left" w:pos="3645"/>
        </w:tabs>
        <w:jc w:val="both"/>
        <w:rPr>
          <w:rFonts w:ascii="Book Antiqua" w:hAnsi="Book Antiqua"/>
          <w:sz w:val="24"/>
          <w:szCs w:val="20"/>
        </w:rPr>
      </w:pPr>
      <w:r w:rsidRPr="00BA4141">
        <w:rPr>
          <w:rFonts w:ascii="Book Antiqua" w:hAnsi="Book Antiqua"/>
          <w:sz w:val="24"/>
          <w:szCs w:val="20"/>
        </w:rPr>
        <w:t>In summary, the benefits in the payback calculation should probably have been initially restricted to financial and quantifiable benefits. The other benefits are important and should have been documented in the business case, but it seems inappropriate to artificially quantify these benefits to satisfy the need to achieve a payback target. However, if the measurable benefits are included in the business case, their underlying assumptions and probability should be communicated to the decision-maker. Furthermore, efforts might also be made to better estimate the likely benefits, perhaps through looking at performance in similar centres, and using this as a benchmark to elevate the benefits to being, at least, quantifiable.</w:t>
      </w:r>
    </w:p>
    <w:p w:rsidR="00AB0EB4" w:rsidRPr="00F832D4" w:rsidRDefault="00AB0EB4" w:rsidP="00AB0EB4">
      <w:pPr>
        <w:spacing w:after="240"/>
        <w:ind w:right="-705" w:hanging="567"/>
        <w:contextualSpacing/>
        <w:rPr>
          <w:rFonts w:asciiTheme="majorBidi" w:hAnsiTheme="majorBidi" w:cstheme="majorBidi"/>
          <w:sz w:val="24"/>
          <w:szCs w:val="24"/>
        </w:rPr>
      </w:pPr>
    </w:p>
    <w:sectPr w:rsidR="00AB0EB4" w:rsidRPr="00F832D4" w:rsidSect="00947467">
      <w:headerReference w:type="default" r:id="rId9"/>
      <w:footerReference w:type="default" r:id="rId10"/>
      <w:pgSz w:w="12240" w:h="15840"/>
      <w:pgMar w:top="135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FB1" w:rsidRDefault="00387FB1" w:rsidP="007C2DEB">
      <w:r>
        <w:separator/>
      </w:r>
    </w:p>
  </w:endnote>
  <w:endnote w:type="continuationSeparator" w:id="1">
    <w:p w:rsidR="00387FB1" w:rsidRDefault="00387FB1" w:rsidP="007C2DEB">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pperplate Gothic Bold">
    <w:altName w:val="MV Boli"/>
    <w:charset w:val="00"/>
    <w:family w:val="swiss"/>
    <w:pitch w:val="variable"/>
    <w:sig w:usb0="00000003" w:usb1="00000000" w:usb2="00000000" w:usb3="00000000" w:csb0="00000001" w:csb1="00000000"/>
  </w:font>
  <w:font w:name="Berlin Sans FB Demi">
    <w:altName w:val="Candara"/>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EB4" w:rsidRDefault="00AB0EB4">
    <w:pPr>
      <w:pStyle w:val="Footer"/>
      <w:jc w:val="right"/>
    </w:pPr>
  </w:p>
  <w:p w:rsidR="00AB0EB4" w:rsidRPr="00C41BB3" w:rsidRDefault="00AB0EB4">
    <w:pPr>
      <w:pStyle w:val="Footer"/>
      <w:rPr>
        <w:lang w:val="en-G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FB1" w:rsidRDefault="00387FB1" w:rsidP="007C2DEB">
      <w:r>
        <w:separator/>
      </w:r>
    </w:p>
  </w:footnote>
  <w:footnote w:type="continuationSeparator" w:id="1">
    <w:p w:rsidR="00387FB1" w:rsidRDefault="00387FB1" w:rsidP="007C2D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EB4" w:rsidRPr="007C2DEB" w:rsidRDefault="00AB0EB4" w:rsidP="007C2DEB">
    <w:pPr>
      <w:pStyle w:val="Header"/>
      <w:rPr>
        <w:rFonts w:ascii="Berlin Sans FB Demi" w:hAnsi="Berlin Sans FB Demi"/>
      </w:rPr>
    </w:pPr>
    <w:r>
      <w:rPr>
        <w:noProof/>
      </w:rPr>
      <w:drawing>
        <wp:inline distT="0" distB="0" distL="0" distR="0">
          <wp:extent cx="352425" cy="4076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425" cy="407670"/>
                  </a:xfrm>
                  <a:prstGeom prst="rect">
                    <a:avLst/>
                  </a:prstGeom>
                  <a:noFill/>
                  <a:ln>
                    <a:noFill/>
                  </a:ln>
                </pic:spPr>
              </pic:pic>
            </a:graphicData>
          </a:graphic>
        </wp:inline>
      </w:drawing>
    </w:r>
    <w:r>
      <w:rPr>
        <w:rFonts w:ascii="Berlin Sans FB Demi" w:hAnsi="Berlin Sans FB Demi"/>
      </w:rPr>
      <w:t xml:space="preserve"> The Institute of Certified Public Accountants of Pakistan (ICPAP)</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90DAC"/>
    <w:multiLevelType w:val="hybridMultilevel"/>
    <w:tmpl w:val="138E8F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13477D"/>
    <w:multiLevelType w:val="hybridMultilevel"/>
    <w:tmpl w:val="FAC4F076"/>
    <w:lvl w:ilvl="0" w:tplc="B5948AF6">
      <w:start w:val="2"/>
      <w:numFmt w:val="bullet"/>
      <w:lvlText w:val="-"/>
      <w:lvlJc w:val="left"/>
      <w:pPr>
        <w:ind w:left="1440" w:hanging="360"/>
      </w:pPr>
      <w:rPr>
        <w:rFonts w:ascii="Book Antiqua" w:eastAsiaTheme="minorHAnsi" w:hAnsi="Book Antiqu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BCC4DDD"/>
    <w:multiLevelType w:val="hybridMultilevel"/>
    <w:tmpl w:val="4FB09A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5D7796"/>
    <w:multiLevelType w:val="hybridMultilevel"/>
    <w:tmpl w:val="CA7225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E23DA4"/>
    <w:multiLevelType w:val="hybridMultilevel"/>
    <w:tmpl w:val="BACC98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4B6C63"/>
    <w:multiLevelType w:val="hybridMultilevel"/>
    <w:tmpl w:val="F906E1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8033F5"/>
    <w:multiLevelType w:val="hybridMultilevel"/>
    <w:tmpl w:val="79D66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3317A4"/>
    <w:multiLevelType w:val="hybridMultilevel"/>
    <w:tmpl w:val="D8CCAA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DD5D16"/>
    <w:multiLevelType w:val="hybridMultilevel"/>
    <w:tmpl w:val="E42635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45188D"/>
    <w:multiLevelType w:val="hybridMultilevel"/>
    <w:tmpl w:val="8FCAC082"/>
    <w:lvl w:ilvl="0" w:tplc="B5948AF6">
      <w:start w:val="2"/>
      <w:numFmt w:val="bullet"/>
      <w:lvlText w:val="-"/>
      <w:lvlJc w:val="left"/>
      <w:pPr>
        <w:ind w:left="1080" w:hanging="360"/>
      </w:pPr>
      <w:rPr>
        <w:rFonts w:ascii="Book Antiqua" w:eastAsiaTheme="minorHAnsi" w:hAnsi="Book Antiqu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50B6E2F"/>
    <w:multiLevelType w:val="hybridMultilevel"/>
    <w:tmpl w:val="D9C272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332775"/>
    <w:multiLevelType w:val="hybridMultilevel"/>
    <w:tmpl w:val="4F0C06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7168DB"/>
    <w:multiLevelType w:val="hybridMultilevel"/>
    <w:tmpl w:val="C5A28F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1AA7229"/>
    <w:multiLevelType w:val="hybridMultilevel"/>
    <w:tmpl w:val="68C48F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6020144"/>
    <w:multiLevelType w:val="hybridMultilevel"/>
    <w:tmpl w:val="366898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5"/>
  </w:num>
  <w:num w:numId="3">
    <w:abstractNumId w:val="9"/>
  </w:num>
  <w:num w:numId="4">
    <w:abstractNumId w:val="3"/>
  </w:num>
  <w:num w:numId="5">
    <w:abstractNumId w:val="15"/>
  </w:num>
  <w:num w:numId="6">
    <w:abstractNumId w:val="10"/>
  </w:num>
  <w:num w:numId="7">
    <w:abstractNumId w:val="2"/>
  </w:num>
  <w:num w:numId="8">
    <w:abstractNumId w:val="6"/>
  </w:num>
  <w:num w:numId="9">
    <w:abstractNumId w:val="1"/>
  </w:num>
  <w:num w:numId="10">
    <w:abstractNumId w:val="8"/>
  </w:num>
  <w:num w:numId="11">
    <w:abstractNumId w:val="11"/>
  </w:num>
  <w:num w:numId="12">
    <w:abstractNumId w:val="12"/>
  </w:num>
  <w:num w:numId="13">
    <w:abstractNumId w:val="0"/>
  </w:num>
  <w:num w:numId="14">
    <w:abstractNumId w:val="4"/>
  </w:num>
  <w:num w:numId="15">
    <w:abstractNumId w:val="7"/>
  </w:num>
  <w:num w:numId="16">
    <w:abstractNumId w:val="1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defaultTabStop w:val="720"/>
  <w:characterSpacingControl w:val="doNotCompress"/>
  <w:footnotePr>
    <w:footnote w:id="0"/>
    <w:footnote w:id="1"/>
  </w:footnotePr>
  <w:endnotePr>
    <w:endnote w:id="0"/>
    <w:endnote w:id="1"/>
  </w:endnotePr>
  <w:compat/>
  <w:rsids>
    <w:rsidRoot w:val="00062EE7"/>
    <w:rsid w:val="00002008"/>
    <w:rsid w:val="000042F9"/>
    <w:rsid w:val="00015A39"/>
    <w:rsid w:val="00017B89"/>
    <w:rsid w:val="00027E72"/>
    <w:rsid w:val="00035B4F"/>
    <w:rsid w:val="00040942"/>
    <w:rsid w:val="00055CD3"/>
    <w:rsid w:val="00056129"/>
    <w:rsid w:val="00062EE7"/>
    <w:rsid w:val="000709F5"/>
    <w:rsid w:val="00074F6D"/>
    <w:rsid w:val="000819E8"/>
    <w:rsid w:val="00085B92"/>
    <w:rsid w:val="000965A6"/>
    <w:rsid w:val="000A588B"/>
    <w:rsid w:val="000A58B3"/>
    <w:rsid w:val="000B2214"/>
    <w:rsid w:val="000B3A28"/>
    <w:rsid w:val="000B4051"/>
    <w:rsid w:val="000B530B"/>
    <w:rsid w:val="000C33E4"/>
    <w:rsid w:val="000D3F34"/>
    <w:rsid w:val="000D63EA"/>
    <w:rsid w:val="000E4442"/>
    <w:rsid w:val="000F5912"/>
    <w:rsid w:val="000F6AA6"/>
    <w:rsid w:val="00100789"/>
    <w:rsid w:val="00103569"/>
    <w:rsid w:val="00112E62"/>
    <w:rsid w:val="00113256"/>
    <w:rsid w:val="00117613"/>
    <w:rsid w:val="001230D3"/>
    <w:rsid w:val="00124E8B"/>
    <w:rsid w:val="0012692C"/>
    <w:rsid w:val="001430FC"/>
    <w:rsid w:val="00150565"/>
    <w:rsid w:val="00152F46"/>
    <w:rsid w:val="00155228"/>
    <w:rsid w:val="00155F62"/>
    <w:rsid w:val="00163F25"/>
    <w:rsid w:val="001662E4"/>
    <w:rsid w:val="0018767D"/>
    <w:rsid w:val="0019276F"/>
    <w:rsid w:val="001A064C"/>
    <w:rsid w:val="001A1A87"/>
    <w:rsid w:val="001C0DEA"/>
    <w:rsid w:val="001C20C0"/>
    <w:rsid w:val="001C2149"/>
    <w:rsid w:val="001D4EBA"/>
    <w:rsid w:val="001E0CDA"/>
    <w:rsid w:val="002201B2"/>
    <w:rsid w:val="002205D7"/>
    <w:rsid w:val="00226C7A"/>
    <w:rsid w:val="0023312E"/>
    <w:rsid w:val="0023493B"/>
    <w:rsid w:val="00246E2E"/>
    <w:rsid w:val="00254FD4"/>
    <w:rsid w:val="002563E8"/>
    <w:rsid w:val="00257E36"/>
    <w:rsid w:val="002606DF"/>
    <w:rsid w:val="00261826"/>
    <w:rsid w:val="002668A3"/>
    <w:rsid w:val="002715FB"/>
    <w:rsid w:val="00273C20"/>
    <w:rsid w:val="00281A4B"/>
    <w:rsid w:val="00287468"/>
    <w:rsid w:val="00292A37"/>
    <w:rsid w:val="002A6C41"/>
    <w:rsid w:val="002A7A16"/>
    <w:rsid w:val="002B0E3E"/>
    <w:rsid w:val="002B5AA0"/>
    <w:rsid w:val="002E5173"/>
    <w:rsid w:val="002F2A6F"/>
    <w:rsid w:val="002F6DCC"/>
    <w:rsid w:val="00313B17"/>
    <w:rsid w:val="00320084"/>
    <w:rsid w:val="00341801"/>
    <w:rsid w:val="00353841"/>
    <w:rsid w:val="00355A8E"/>
    <w:rsid w:val="00372E75"/>
    <w:rsid w:val="0037321D"/>
    <w:rsid w:val="0038207C"/>
    <w:rsid w:val="00387FB1"/>
    <w:rsid w:val="00396F8F"/>
    <w:rsid w:val="003A526C"/>
    <w:rsid w:val="003B2715"/>
    <w:rsid w:val="003B284E"/>
    <w:rsid w:val="003B75BB"/>
    <w:rsid w:val="003C6CBA"/>
    <w:rsid w:val="003E5262"/>
    <w:rsid w:val="003E7BAB"/>
    <w:rsid w:val="003F4FA6"/>
    <w:rsid w:val="003F65E4"/>
    <w:rsid w:val="0041293B"/>
    <w:rsid w:val="00423FC7"/>
    <w:rsid w:val="00434A12"/>
    <w:rsid w:val="00443BCD"/>
    <w:rsid w:val="00444522"/>
    <w:rsid w:val="0044521E"/>
    <w:rsid w:val="00446C07"/>
    <w:rsid w:val="0046124B"/>
    <w:rsid w:val="00472BD3"/>
    <w:rsid w:val="004738B1"/>
    <w:rsid w:val="00473ED5"/>
    <w:rsid w:val="00480BE6"/>
    <w:rsid w:val="00497395"/>
    <w:rsid w:val="004A4AC4"/>
    <w:rsid w:val="004B457C"/>
    <w:rsid w:val="004B62D3"/>
    <w:rsid w:val="0050678D"/>
    <w:rsid w:val="00524828"/>
    <w:rsid w:val="00526CFD"/>
    <w:rsid w:val="005333DB"/>
    <w:rsid w:val="005428B6"/>
    <w:rsid w:val="00543E7A"/>
    <w:rsid w:val="00561F19"/>
    <w:rsid w:val="00562A83"/>
    <w:rsid w:val="005700B1"/>
    <w:rsid w:val="005777E2"/>
    <w:rsid w:val="00581115"/>
    <w:rsid w:val="00583094"/>
    <w:rsid w:val="00597B59"/>
    <w:rsid w:val="005A15B4"/>
    <w:rsid w:val="005A266B"/>
    <w:rsid w:val="005A7F25"/>
    <w:rsid w:val="005C3A45"/>
    <w:rsid w:val="005D0280"/>
    <w:rsid w:val="005E7093"/>
    <w:rsid w:val="00612C72"/>
    <w:rsid w:val="00614A55"/>
    <w:rsid w:val="006155DF"/>
    <w:rsid w:val="00620F23"/>
    <w:rsid w:val="00635D84"/>
    <w:rsid w:val="00636755"/>
    <w:rsid w:val="00640513"/>
    <w:rsid w:val="00651315"/>
    <w:rsid w:val="00662ED6"/>
    <w:rsid w:val="006658FF"/>
    <w:rsid w:val="00670160"/>
    <w:rsid w:val="00680DCB"/>
    <w:rsid w:val="006820E8"/>
    <w:rsid w:val="00686ABB"/>
    <w:rsid w:val="00687932"/>
    <w:rsid w:val="00696FBF"/>
    <w:rsid w:val="006A10AD"/>
    <w:rsid w:val="006A148A"/>
    <w:rsid w:val="006A7953"/>
    <w:rsid w:val="006A7E0D"/>
    <w:rsid w:val="006C7611"/>
    <w:rsid w:val="006D4A0C"/>
    <w:rsid w:val="006D512E"/>
    <w:rsid w:val="006E37EF"/>
    <w:rsid w:val="0070605E"/>
    <w:rsid w:val="0071634F"/>
    <w:rsid w:val="00733A7F"/>
    <w:rsid w:val="007350F2"/>
    <w:rsid w:val="00735EC5"/>
    <w:rsid w:val="00743C71"/>
    <w:rsid w:val="007451BD"/>
    <w:rsid w:val="0074571E"/>
    <w:rsid w:val="00775F47"/>
    <w:rsid w:val="0078561C"/>
    <w:rsid w:val="00787DDF"/>
    <w:rsid w:val="007A167B"/>
    <w:rsid w:val="007A6C11"/>
    <w:rsid w:val="007B2073"/>
    <w:rsid w:val="007C2DEB"/>
    <w:rsid w:val="007E0431"/>
    <w:rsid w:val="007E372D"/>
    <w:rsid w:val="007E5DCF"/>
    <w:rsid w:val="00801C28"/>
    <w:rsid w:val="00805CEA"/>
    <w:rsid w:val="008107DB"/>
    <w:rsid w:val="00811DD8"/>
    <w:rsid w:val="008376E5"/>
    <w:rsid w:val="00844A63"/>
    <w:rsid w:val="00846339"/>
    <w:rsid w:val="008502B6"/>
    <w:rsid w:val="008502EF"/>
    <w:rsid w:val="00855B46"/>
    <w:rsid w:val="00856749"/>
    <w:rsid w:val="008624D5"/>
    <w:rsid w:val="008729B2"/>
    <w:rsid w:val="00875714"/>
    <w:rsid w:val="008824FA"/>
    <w:rsid w:val="00887415"/>
    <w:rsid w:val="00890B71"/>
    <w:rsid w:val="008A062F"/>
    <w:rsid w:val="008A3BC0"/>
    <w:rsid w:val="008B41B2"/>
    <w:rsid w:val="008C1EC8"/>
    <w:rsid w:val="008D3464"/>
    <w:rsid w:val="008E6603"/>
    <w:rsid w:val="008F2E97"/>
    <w:rsid w:val="00904227"/>
    <w:rsid w:val="00915C87"/>
    <w:rsid w:val="00925858"/>
    <w:rsid w:val="00931D56"/>
    <w:rsid w:val="00947467"/>
    <w:rsid w:val="00956E13"/>
    <w:rsid w:val="00964AD7"/>
    <w:rsid w:val="00967CFE"/>
    <w:rsid w:val="00970108"/>
    <w:rsid w:val="009739CC"/>
    <w:rsid w:val="009763F2"/>
    <w:rsid w:val="00990E99"/>
    <w:rsid w:val="009A0A27"/>
    <w:rsid w:val="009D0D06"/>
    <w:rsid w:val="009F39FF"/>
    <w:rsid w:val="00A0601E"/>
    <w:rsid w:val="00A07EB2"/>
    <w:rsid w:val="00A10552"/>
    <w:rsid w:val="00A1496E"/>
    <w:rsid w:val="00A34B25"/>
    <w:rsid w:val="00A37B0E"/>
    <w:rsid w:val="00A40EFB"/>
    <w:rsid w:val="00A45777"/>
    <w:rsid w:val="00A553EC"/>
    <w:rsid w:val="00A56C7C"/>
    <w:rsid w:val="00A65AF6"/>
    <w:rsid w:val="00A676DE"/>
    <w:rsid w:val="00A72A17"/>
    <w:rsid w:val="00AB0EB4"/>
    <w:rsid w:val="00AB6DF4"/>
    <w:rsid w:val="00AB767E"/>
    <w:rsid w:val="00AB7AE9"/>
    <w:rsid w:val="00AD3803"/>
    <w:rsid w:val="00AE5D40"/>
    <w:rsid w:val="00AE7507"/>
    <w:rsid w:val="00AF156D"/>
    <w:rsid w:val="00AF4EE0"/>
    <w:rsid w:val="00B01F51"/>
    <w:rsid w:val="00B042F7"/>
    <w:rsid w:val="00B1258F"/>
    <w:rsid w:val="00B14C39"/>
    <w:rsid w:val="00B20731"/>
    <w:rsid w:val="00B50792"/>
    <w:rsid w:val="00B55070"/>
    <w:rsid w:val="00B64007"/>
    <w:rsid w:val="00B70811"/>
    <w:rsid w:val="00BA4F3E"/>
    <w:rsid w:val="00BA5DFB"/>
    <w:rsid w:val="00BB2E2D"/>
    <w:rsid w:val="00BB45C7"/>
    <w:rsid w:val="00BE09C1"/>
    <w:rsid w:val="00BE62A5"/>
    <w:rsid w:val="00BE67D8"/>
    <w:rsid w:val="00BF0435"/>
    <w:rsid w:val="00BF6C6B"/>
    <w:rsid w:val="00C10BBB"/>
    <w:rsid w:val="00C151A6"/>
    <w:rsid w:val="00C17745"/>
    <w:rsid w:val="00C21A6C"/>
    <w:rsid w:val="00C30E2F"/>
    <w:rsid w:val="00C41BB3"/>
    <w:rsid w:val="00C4712F"/>
    <w:rsid w:val="00C53155"/>
    <w:rsid w:val="00C65373"/>
    <w:rsid w:val="00C65AFB"/>
    <w:rsid w:val="00C849AF"/>
    <w:rsid w:val="00C96F51"/>
    <w:rsid w:val="00C97B20"/>
    <w:rsid w:val="00CA271F"/>
    <w:rsid w:val="00CA33D2"/>
    <w:rsid w:val="00CA3527"/>
    <w:rsid w:val="00CA3F56"/>
    <w:rsid w:val="00CB1039"/>
    <w:rsid w:val="00CB1756"/>
    <w:rsid w:val="00CB3D84"/>
    <w:rsid w:val="00CD10CF"/>
    <w:rsid w:val="00CD111C"/>
    <w:rsid w:val="00CD65F5"/>
    <w:rsid w:val="00CE1331"/>
    <w:rsid w:val="00CE3E55"/>
    <w:rsid w:val="00D057E9"/>
    <w:rsid w:val="00D120F6"/>
    <w:rsid w:val="00D1319E"/>
    <w:rsid w:val="00D30021"/>
    <w:rsid w:val="00D33FF5"/>
    <w:rsid w:val="00D349FA"/>
    <w:rsid w:val="00D400D5"/>
    <w:rsid w:val="00D42B72"/>
    <w:rsid w:val="00D433EF"/>
    <w:rsid w:val="00D66BAC"/>
    <w:rsid w:val="00D70DCE"/>
    <w:rsid w:val="00D725D4"/>
    <w:rsid w:val="00D728CD"/>
    <w:rsid w:val="00D774DF"/>
    <w:rsid w:val="00D83655"/>
    <w:rsid w:val="00D83AA5"/>
    <w:rsid w:val="00D86372"/>
    <w:rsid w:val="00D87A6F"/>
    <w:rsid w:val="00DA496F"/>
    <w:rsid w:val="00DA6C52"/>
    <w:rsid w:val="00DB668D"/>
    <w:rsid w:val="00DB7C3D"/>
    <w:rsid w:val="00DC4D7A"/>
    <w:rsid w:val="00DC6A2A"/>
    <w:rsid w:val="00DD23F8"/>
    <w:rsid w:val="00DD3AA0"/>
    <w:rsid w:val="00DD7352"/>
    <w:rsid w:val="00DF1506"/>
    <w:rsid w:val="00DF3D60"/>
    <w:rsid w:val="00E0395B"/>
    <w:rsid w:val="00E040AC"/>
    <w:rsid w:val="00E3059E"/>
    <w:rsid w:val="00E31936"/>
    <w:rsid w:val="00E323B6"/>
    <w:rsid w:val="00E345CC"/>
    <w:rsid w:val="00E3753D"/>
    <w:rsid w:val="00E47893"/>
    <w:rsid w:val="00E54CA8"/>
    <w:rsid w:val="00E6455A"/>
    <w:rsid w:val="00E70187"/>
    <w:rsid w:val="00E713B9"/>
    <w:rsid w:val="00E90FBC"/>
    <w:rsid w:val="00E9577A"/>
    <w:rsid w:val="00E97E4E"/>
    <w:rsid w:val="00EA689F"/>
    <w:rsid w:val="00EB55F7"/>
    <w:rsid w:val="00EB7473"/>
    <w:rsid w:val="00ED3FB2"/>
    <w:rsid w:val="00ED69E8"/>
    <w:rsid w:val="00EE62E5"/>
    <w:rsid w:val="00F020FB"/>
    <w:rsid w:val="00F05B75"/>
    <w:rsid w:val="00F16514"/>
    <w:rsid w:val="00F43A65"/>
    <w:rsid w:val="00F44E37"/>
    <w:rsid w:val="00F45653"/>
    <w:rsid w:val="00F64801"/>
    <w:rsid w:val="00F72CF4"/>
    <w:rsid w:val="00F77574"/>
    <w:rsid w:val="00F832D4"/>
    <w:rsid w:val="00F85BC8"/>
    <w:rsid w:val="00F87FEA"/>
    <w:rsid w:val="00F96538"/>
    <w:rsid w:val="00F965A5"/>
    <w:rsid w:val="00FA23A8"/>
    <w:rsid w:val="00FA38DF"/>
    <w:rsid w:val="00FA3FF1"/>
    <w:rsid w:val="00FC5443"/>
    <w:rsid w:val="00FC5CF9"/>
    <w:rsid w:val="00FE0962"/>
    <w:rsid w:val="00FE264C"/>
    <w:rsid w:val="00FF0962"/>
    <w:rsid w:val="00FF2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62EE7"/>
    <w:pPr>
      <w:widowControl w:val="0"/>
      <w:spacing w:after="0" w:line="240" w:lineRule="auto"/>
    </w:pPr>
  </w:style>
  <w:style w:type="paragraph" w:styleId="Heading1">
    <w:name w:val="heading 1"/>
    <w:basedOn w:val="Normal"/>
    <w:link w:val="Heading1Char"/>
    <w:uiPriority w:val="1"/>
    <w:qFormat/>
    <w:rsid w:val="00062EE7"/>
    <w:pPr>
      <w:ind w:left="999"/>
      <w:outlineLvl w:val="0"/>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62EE7"/>
    <w:rPr>
      <w:rFonts w:ascii="Times New Roman" w:eastAsia="Times New Roman" w:hAnsi="Times New Roman"/>
      <w:b/>
      <w:bCs/>
    </w:rPr>
  </w:style>
  <w:style w:type="paragraph" w:styleId="BodyText">
    <w:name w:val="Body Text"/>
    <w:basedOn w:val="Normal"/>
    <w:link w:val="BodyTextChar"/>
    <w:uiPriority w:val="1"/>
    <w:qFormat/>
    <w:rsid w:val="00062EE7"/>
    <w:pPr>
      <w:ind w:left="1864" w:hanging="864"/>
    </w:pPr>
    <w:rPr>
      <w:rFonts w:ascii="Times New Roman" w:eastAsia="Times New Roman" w:hAnsi="Times New Roman"/>
    </w:rPr>
  </w:style>
  <w:style w:type="character" w:customStyle="1" w:styleId="BodyTextChar">
    <w:name w:val="Body Text Char"/>
    <w:basedOn w:val="DefaultParagraphFont"/>
    <w:link w:val="BodyText"/>
    <w:uiPriority w:val="1"/>
    <w:rsid w:val="00062EE7"/>
    <w:rPr>
      <w:rFonts w:ascii="Times New Roman" w:eastAsia="Times New Roman" w:hAnsi="Times New Roman"/>
    </w:rPr>
  </w:style>
  <w:style w:type="paragraph" w:styleId="ListParagraph">
    <w:name w:val="List Paragraph"/>
    <w:basedOn w:val="Normal"/>
    <w:uiPriority w:val="1"/>
    <w:qFormat/>
    <w:rsid w:val="00062EE7"/>
  </w:style>
  <w:style w:type="paragraph" w:styleId="BalloonText">
    <w:name w:val="Balloon Text"/>
    <w:basedOn w:val="Normal"/>
    <w:link w:val="BalloonTextChar"/>
    <w:uiPriority w:val="99"/>
    <w:semiHidden/>
    <w:unhideWhenUsed/>
    <w:rsid w:val="00062EE7"/>
    <w:rPr>
      <w:rFonts w:ascii="Tahoma" w:hAnsi="Tahoma" w:cs="Tahoma"/>
      <w:sz w:val="16"/>
      <w:szCs w:val="16"/>
    </w:rPr>
  </w:style>
  <w:style w:type="character" w:customStyle="1" w:styleId="BalloonTextChar">
    <w:name w:val="Balloon Text Char"/>
    <w:basedOn w:val="DefaultParagraphFont"/>
    <w:link w:val="BalloonText"/>
    <w:uiPriority w:val="99"/>
    <w:semiHidden/>
    <w:rsid w:val="00062EE7"/>
    <w:rPr>
      <w:rFonts w:ascii="Tahoma" w:hAnsi="Tahoma" w:cs="Tahoma"/>
      <w:sz w:val="16"/>
      <w:szCs w:val="16"/>
    </w:rPr>
  </w:style>
  <w:style w:type="paragraph" w:customStyle="1" w:styleId="TableParagraph">
    <w:name w:val="Table Paragraph"/>
    <w:basedOn w:val="Normal"/>
    <w:uiPriority w:val="1"/>
    <w:qFormat/>
    <w:rsid w:val="002715FB"/>
  </w:style>
  <w:style w:type="paragraph" w:customStyle="1" w:styleId="Default">
    <w:name w:val="Default"/>
    <w:rsid w:val="00D774DF"/>
    <w:pPr>
      <w:autoSpaceDE w:val="0"/>
      <w:autoSpaceDN w:val="0"/>
      <w:adjustRightInd w:val="0"/>
      <w:spacing w:after="0" w:line="240" w:lineRule="auto"/>
    </w:pPr>
    <w:rPr>
      <w:rFonts w:ascii="Book Antiqua" w:hAnsi="Book Antiqua" w:cs="Book Antiqua"/>
      <w:color w:val="000000"/>
      <w:sz w:val="24"/>
      <w:szCs w:val="24"/>
    </w:rPr>
  </w:style>
  <w:style w:type="table" w:styleId="TableGrid">
    <w:name w:val="Table Grid"/>
    <w:basedOn w:val="TableNormal"/>
    <w:uiPriority w:val="59"/>
    <w:rsid w:val="00D774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C2DEB"/>
    <w:pPr>
      <w:tabs>
        <w:tab w:val="center" w:pos="4680"/>
        <w:tab w:val="right" w:pos="9360"/>
      </w:tabs>
    </w:pPr>
  </w:style>
  <w:style w:type="character" w:customStyle="1" w:styleId="HeaderChar">
    <w:name w:val="Header Char"/>
    <w:basedOn w:val="DefaultParagraphFont"/>
    <w:link w:val="Header"/>
    <w:uiPriority w:val="99"/>
    <w:rsid w:val="007C2DEB"/>
  </w:style>
  <w:style w:type="paragraph" w:styleId="Footer">
    <w:name w:val="footer"/>
    <w:basedOn w:val="Normal"/>
    <w:link w:val="FooterChar"/>
    <w:uiPriority w:val="99"/>
    <w:unhideWhenUsed/>
    <w:rsid w:val="007C2DEB"/>
    <w:pPr>
      <w:tabs>
        <w:tab w:val="center" w:pos="4680"/>
        <w:tab w:val="right" w:pos="9360"/>
      </w:tabs>
    </w:pPr>
  </w:style>
  <w:style w:type="character" w:customStyle="1" w:styleId="FooterChar">
    <w:name w:val="Footer Char"/>
    <w:basedOn w:val="DefaultParagraphFont"/>
    <w:link w:val="Footer"/>
    <w:uiPriority w:val="99"/>
    <w:rsid w:val="007C2DEB"/>
  </w:style>
  <w:style w:type="paragraph" w:styleId="NoSpacing">
    <w:name w:val="No Spacing"/>
    <w:uiPriority w:val="1"/>
    <w:qFormat/>
    <w:rsid w:val="008B41B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62EE7"/>
    <w:pPr>
      <w:widowControl w:val="0"/>
      <w:spacing w:after="0" w:line="240" w:lineRule="auto"/>
    </w:pPr>
  </w:style>
  <w:style w:type="paragraph" w:styleId="Heading1">
    <w:name w:val="heading 1"/>
    <w:basedOn w:val="Normal"/>
    <w:link w:val="Heading1Char"/>
    <w:uiPriority w:val="1"/>
    <w:qFormat/>
    <w:rsid w:val="00062EE7"/>
    <w:pPr>
      <w:ind w:left="999"/>
      <w:outlineLvl w:val="0"/>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62EE7"/>
    <w:rPr>
      <w:rFonts w:ascii="Times New Roman" w:eastAsia="Times New Roman" w:hAnsi="Times New Roman"/>
      <w:b/>
      <w:bCs/>
    </w:rPr>
  </w:style>
  <w:style w:type="paragraph" w:styleId="BodyText">
    <w:name w:val="Body Text"/>
    <w:basedOn w:val="Normal"/>
    <w:link w:val="BodyTextChar"/>
    <w:uiPriority w:val="1"/>
    <w:qFormat/>
    <w:rsid w:val="00062EE7"/>
    <w:pPr>
      <w:ind w:left="1864" w:hanging="864"/>
    </w:pPr>
    <w:rPr>
      <w:rFonts w:ascii="Times New Roman" w:eastAsia="Times New Roman" w:hAnsi="Times New Roman"/>
    </w:rPr>
  </w:style>
  <w:style w:type="character" w:customStyle="1" w:styleId="BodyTextChar">
    <w:name w:val="Body Text Char"/>
    <w:basedOn w:val="DefaultParagraphFont"/>
    <w:link w:val="BodyText"/>
    <w:uiPriority w:val="1"/>
    <w:rsid w:val="00062EE7"/>
    <w:rPr>
      <w:rFonts w:ascii="Times New Roman" w:eastAsia="Times New Roman" w:hAnsi="Times New Roman"/>
    </w:rPr>
  </w:style>
  <w:style w:type="paragraph" w:styleId="ListParagraph">
    <w:name w:val="List Paragraph"/>
    <w:basedOn w:val="Normal"/>
    <w:uiPriority w:val="34"/>
    <w:qFormat/>
    <w:rsid w:val="00062EE7"/>
  </w:style>
  <w:style w:type="paragraph" w:styleId="BalloonText">
    <w:name w:val="Balloon Text"/>
    <w:basedOn w:val="Normal"/>
    <w:link w:val="BalloonTextChar"/>
    <w:uiPriority w:val="99"/>
    <w:semiHidden/>
    <w:unhideWhenUsed/>
    <w:rsid w:val="00062EE7"/>
    <w:rPr>
      <w:rFonts w:ascii="Tahoma" w:hAnsi="Tahoma" w:cs="Tahoma"/>
      <w:sz w:val="16"/>
      <w:szCs w:val="16"/>
    </w:rPr>
  </w:style>
  <w:style w:type="character" w:customStyle="1" w:styleId="BalloonTextChar">
    <w:name w:val="Balloon Text Char"/>
    <w:basedOn w:val="DefaultParagraphFont"/>
    <w:link w:val="BalloonText"/>
    <w:uiPriority w:val="99"/>
    <w:semiHidden/>
    <w:rsid w:val="00062EE7"/>
    <w:rPr>
      <w:rFonts w:ascii="Tahoma" w:hAnsi="Tahoma" w:cs="Tahoma"/>
      <w:sz w:val="16"/>
      <w:szCs w:val="16"/>
    </w:rPr>
  </w:style>
  <w:style w:type="paragraph" w:customStyle="1" w:styleId="TableParagraph">
    <w:name w:val="Table Paragraph"/>
    <w:basedOn w:val="Normal"/>
    <w:uiPriority w:val="1"/>
    <w:qFormat/>
    <w:rsid w:val="002715FB"/>
  </w:style>
  <w:style w:type="paragraph" w:customStyle="1" w:styleId="Default">
    <w:name w:val="Default"/>
    <w:rsid w:val="00D774DF"/>
    <w:pPr>
      <w:autoSpaceDE w:val="0"/>
      <w:autoSpaceDN w:val="0"/>
      <w:adjustRightInd w:val="0"/>
      <w:spacing w:after="0" w:line="240" w:lineRule="auto"/>
    </w:pPr>
    <w:rPr>
      <w:rFonts w:ascii="Book Antiqua" w:hAnsi="Book Antiqua" w:cs="Book Antiqua"/>
      <w:color w:val="000000"/>
      <w:sz w:val="24"/>
      <w:szCs w:val="24"/>
    </w:rPr>
  </w:style>
  <w:style w:type="table" w:styleId="TableGrid">
    <w:name w:val="Table Grid"/>
    <w:basedOn w:val="TableNormal"/>
    <w:uiPriority w:val="39"/>
    <w:rsid w:val="00D774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C2DEB"/>
    <w:pPr>
      <w:tabs>
        <w:tab w:val="center" w:pos="4680"/>
        <w:tab w:val="right" w:pos="9360"/>
      </w:tabs>
    </w:pPr>
  </w:style>
  <w:style w:type="character" w:customStyle="1" w:styleId="HeaderChar">
    <w:name w:val="Header Char"/>
    <w:basedOn w:val="DefaultParagraphFont"/>
    <w:link w:val="Header"/>
    <w:uiPriority w:val="99"/>
    <w:rsid w:val="007C2DEB"/>
  </w:style>
  <w:style w:type="paragraph" w:styleId="Footer">
    <w:name w:val="footer"/>
    <w:basedOn w:val="Normal"/>
    <w:link w:val="FooterChar"/>
    <w:uiPriority w:val="99"/>
    <w:unhideWhenUsed/>
    <w:rsid w:val="007C2DEB"/>
    <w:pPr>
      <w:tabs>
        <w:tab w:val="center" w:pos="4680"/>
        <w:tab w:val="right" w:pos="9360"/>
      </w:tabs>
    </w:pPr>
  </w:style>
  <w:style w:type="character" w:customStyle="1" w:styleId="FooterChar">
    <w:name w:val="Footer Char"/>
    <w:basedOn w:val="DefaultParagraphFont"/>
    <w:link w:val="Footer"/>
    <w:uiPriority w:val="99"/>
    <w:rsid w:val="007C2DEB"/>
  </w:style>
  <w:style w:type="paragraph" w:styleId="NoSpacing">
    <w:name w:val="No Spacing"/>
    <w:uiPriority w:val="1"/>
    <w:qFormat/>
    <w:rsid w:val="008B41B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C83D3-EE29-484C-8CB2-C853F1AC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14098</Words>
  <Characters>80365</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athar</cp:lastModifiedBy>
  <cp:revision>2</cp:revision>
  <cp:lastPrinted>2016-05-28T11:25:00Z</cp:lastPrinted>
  <dcterms:created xsi:type="dcterms:W3CDTF">2018-06-07T09:25:00Z</dcterms:created>
  <dcterms:modified xsi:type="dcterms:W3CDTF">2018-06-07T09:25:00Z</dcterms:modified>
</cp:coreProperties>
</file>